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ulmulwoolu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ulmulwoolu</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ofutwszqsj</w:t>
      </w:r>
    </w:p>
    <w:p>
      <w:pPr>
        <w:pStyle w:val="BodyText"/>
      </w:pPr>
      <w:r>
        <w:rPr>
          <w:bCs/>
          <w:b/>
        </w:rPr>
        <w:t xml:space="preserve">Senior Sustainability Consultant:</w:t>
      </w:r>
      <w:r>
        <w:t xml:space="preserve"> </w:t>
      </w:r>
      <w:r>
        <w:t xml:space="preserve">zuihwupkkq</w:t>
      </w:r>
    </w:p>
    <w:p>
      <w:pPr>
        <w:pStyle w:val="BodyText"/>
      </w:pPr>
      <w:r>
        <w:t xml:space="preserve">This report is generated based on available data and industry standards. The calculations provided are illustrative, reflecting the specified parameters and common emission factors where specific primary data was not available for direct input. A full, precise analysis would require comprehensive primary data collection.</w:t>
      </w:r>
    </w:p>
    <w:bookmarkEnd w:id="20"/>
    <w:bookmarkStart w:id="21" w:name="Xa4a0cdc8f26b36eddf55b886512ac2077a6b9db"/>
    <w:p>
      <w:pPr>
        <w:pStyle w:val="Heading1"/>
      </w:pPr>
      <w:r>
        <w:t xml:space="preserve">Product Carbon Footprint Analysis Report - ulmulwoolu</w:t>
      </w:r>
    </w:p>
    <w:p>
      <w:pPr>
        <w:pStyle w:val="FirstParagraph"/>
      </w:pPr>
      <w:r>
        <w:t xml:space="preserve">Generated Date: May 22,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\'ulmulwoolu\', manufactured by ofutwszqsj. The analysis was conducted by zuihwupkkq, a Senior Sustainability Consultant specializing in the GHG Protocol. The assessment adheres to the GHG Protocol Product Standard, including the 2026 Land Sector and Removals (LSR) update, and aims for at least 95% coverage for Scope 3 emissions. The total estimated cradle-to-gate (plus use and end-of-life) carbon footprint for one functional unit of ulmulwoolu is approximately 22.92 kgCO2e.</w:t>
      </w:r>
    </w:p>
    <w:p>
      <w:pPr>
        <w:pStyle w:val="BodyText"/>
      </w:pPr>
      <w:r>
        <w:t xml:space="preserve">Key hotspots identified include the product\'s use phase, primarily due to energy consumption, and the upstream material acquisition and production. Opportunities for reduction lie in enhancing energy efficiency during the use phase, increasing the renewable energy mix in manufacturing, and optimizing material choices and circularity.</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The Product Carbon Footprint (PCF) analysis was performed following the five-step methodology as outlined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 (LCI Inventory Stages):</w:t>
      </w:r>
      <w:r>
        <w:t xml:space="preserve"> </w:t>
      </w:r>
      <w:r>
        <w:t xml:space="preserve">Identify all relevant lifecycle stages from raw material extraction to end-of-life.</w:t>
      </w:r>
    </w:p>
    <w:p>
      <w:pPr>
        <w:numPr>
          <w:ilvl w:val="0"/>
          <w:numId w:val="1001"/>
        </w:numPr>
        <w:pStyle w:val="Compact"/>
      </w:pPr>
      <w:r>
        <w:rPr>
          <w:bCs/>
          <w:b/>
        </w:rPr>
        <w:t xml:space="preserve">Collect Data:</w:t>
      </w:r>
      <w:r>
        <w:t xml:space="preserve"> </w:t>
      </w:r>
      <w:r>
        <w:t xml:space="preserve">Gather primary and secondary data points for all identified inputs and outputs across the lifecycle.</w:t>
      </w:r>
    </w:p>
    <w:p>
      <w:pPr>
        <w:numPr>
          <w:ilvl w:val="0"/>
          <w:numId w:val="1001"/>
        </w:numPr>
        <w:pStyle w:val="Compact"/>
      </w:pPr>
      <w:r>
        <w:rPr>
          <w:bCs/>
          <w:b/>
        </w:rPr>
        <w:t xml:space="preserve">Calculate Emissions:</w:t>
      </w:r>
      <w:r>
        <w:t xml:space="preserve"> </w:t>
      </w:r>
      <w:r>
        <w:t xml:space="preserve">Quantify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communicate findings.</w:t>
      </w:r>
    </w:p>
    <w:p>
      <w:pPr>
        <w:pStyle w:val="FirstParagraph"/>
      </w:pPr>
      <w:r>
        <w:t xml:space="preserve">The accounting standard used for this report is the **GHG Protocol**.</w:t>
      </w:r>
    </w:p>
    <w:p>
      <w:r>
        <w:pict>
          <v:rect style="width:0;height:1.5pt" o:hralign="center" o:hrstd="t" o:hr="t"/>
        </w:pict>
      </w:r>
    </w:p>
    <w:bookmarkEnd w:id="23"/>
    <w:bookmarkStart w:id="24" w:name="scope-definition"/>
    <w:p>
      <w:pPr>
        <w:pStyle w:val="Heading2"/>
      </w:pPr>
      <w:r>
        <w:t xml:space="preserve">3. Scope Definition</w:t>
      </w:r>
    </w:p>
    <w:p>
      <w:pPr>
        <w:pStyle w:val="FirstParagraph"/>
      </w:pPr>
      <w:r>
        <w:t xml:space="preserve">This section outlines the foundational parameters for the PCF study of ulmulwoolu.</w:t>
      </w:r>
    </w:p>
    <w:p>
      <w:pPr>
        <w:numPr>
          <w:ilvl w:val="0"/>
          <w:numId w:val="1002"/>
        </w:numPr>
        <w:pStyle w:val="Compact"/>
      </w:pPr>
      <w:r>
        <w:rPr>
          <w:bCs/>
          <w:b/>
        </w:rPr>
        <w:t xml:space="preserve">Functional Unit:</w:t>
      </w:r>
      <w:r>
        <w:t xml:space="preserve"> </w:t>
      </w:r>
      <w:r>
        <w:t xml:space="preserve">1.0 unit of ulmulwoolu. This unit defines the quantified performance of the product for comparison and analysis.</w:t>
      </w:r>
    </w:p>
    <w:p>
      <w:pPr>
        <w:numPr>
          <w:ilvl w:val="0"/>
          <w:numId w:val="1002"/>
        </w:numPr>
        <w:pStyle w:val="Compact"/>
      </w:pPr>
      <w:r>
        <w:rPr>
          <w:bCs/>
          <w:b/>
        </w:rPr>
        <w:t xml:space="preserve">System Boundary:</w:t>
      </w:r>
      <w:r>
        <w:t xml:space="preserve"> </w:t>
      </w:r>
      <w:r>
        <w:t xml:space="preserve">factory_gate, extended to include the full lifecycle (cradle-to-grave) for a comprehensive assessment, encompassing raw material acquisition, manufacturing, distribution, use, and end-of-life.</w:t>
      </w:r>
    </w:p>
    <w:p>
      <w:pPr>
        <w:numPr>
          <w:ilvl w:val="0"/>
          <w:numId w:val="1002"/>
        </w:numPr>
        <w:pStyle w:val="Compact"/>
      </w:pPr>
      <w:r>
        <w:rPr>
          <w:bCs/>
          <w:b/>
        </w:rPr>
        <w:t xml:space="preserve">Geographic Scope:</w:t>
      </w:r>
      <w:r>
        <w:t xml:space="preserve"> </w:t>
      </w:r>
      <w:r>
        <w:t xml:space="preserve">Final Production Country: China, with a Supply Chain Focus: Europe Focused, implying primary material sourcing and downstream distribution considerations for European markets.</w:t>
      </w:r>
    </w:p>
    <w:p>
      <w:pPr>
        <w:numPr>
          <w:ilvl w:val="0"/>
          <w:numId w:val="1002"/>
        </w:numPr>
        <w:pStyle w:val="Compact"/>
      </w:pPr>
      <w:r>
        <w:rPr>
          <w:bCs/>
          <w:b/>
        </w:rPr>
        <w:t xml:space="preserve">Accounting Standard:</w:t>
      </w:r>
      <w:r>
        <w:t xml:space="preserve"> </w:t>
      </w:r>
      <w:r>
        <w:t xml:space="preserve">GHG Protocol Product Life Cycle Accounting and Reporting Standard. This includes explicit categorization of emissions into Scope 1 (direct), Scope 2 (purchased energy), and Scope 3 (value chain). The report also applies the 2026 Land Sector and Removals (LSR) Standard for land use and carbon removals, integrating their impact where relevant in the lifecycle.</w:t>
      </w:r>
    </w:p>
    <w:p>
      <w:pPr>
        <w:numPr>
          <w:ilvl w:val="0"/>
          <w:numId w:val="1002"/>
        </w:numPr>
        <w:pStyle w:val="Compact"/>
      </w:pPr>
      <w:r>
        <w:rPr>
          <w:bCs/>
          <w:b/>
        </w:rPr>
        <w:t xml:space="preserve">Allocation:</w:t>
      </w:r>
      <w:r>
        <w:t xml:space="preserve"> </w:t>
      </w:r>
      <w:r>
        <w:t xml:space="preserve">Mass-based allocation was primarily used for shared processes and co-products, assuming a direct relationship between mass and environmental impact where detailed process data was unavailable. For end-of-life, the avoided burden approach was applied for recycled materials.</w:t>
      </w:r>
    </w:p>
    <w:p>
      <w:r>
        <w:pict>
          <v:rect style="width:0;height:1.5pt" o:hralign="center" o:hrstd="t" o:hr="t"/>
        </w:pict>
      </w:r>
    </w:p>
    <w:bookmarkEnd w:id="24"/>
    <w:bookmarkStart w:id="30" w:name="X1b7031aaf9d3ec7631c8b88e4e268c4190343e5"/>
    <w:p>
      <w:pPr>
        <w:pStyle w:val="Heading2"/>
      </w:pPr>
      <w:r>
        <w:t xml:space="preserve">4. Lifecycle Mapping &amp; Data Collection (Steps 2 &amp; 3)</w:t>
      </w:r>
    </w:p>
    <w:p>
      <w:pPr>
        <w:pStyle w:val="FirstParagraph"/>
      </w:pPr>
      <w:r>
        <w:t xml:space="preserve">The lifecycle of ulmulwoolu encompasses several stages, from raw material extraction and processing to manufacturing, distribution, product use, and ultimately, its end-of-life. Data for this analysis includes a detailed Bill of Materials (BOM), energy consumption, transport logistics, and end-of-life scenarios.</w:t>
      </w:r>
    </w:p>
    <w:bookmarkStart w:id="25" w:name="detailed-bill-of-materials-bom"/>
    <w:p>
      <w:pPr>
        <w:pStyle w:val="Heading3"/>
      </w:pPr>
      <w:r>
        <w:t xml:space="preserve">4.1. Detailed Bill of Materials (BOM)</w:t>
      </w:r>
    </w:p>
    <w:p>
      <w:pPr>
        <w:pStyle w:val="FirstParagraph"/>
      </w:pPr>
      <w:r>
        <w:t xml:space="preserve">The following detailed BOM, referred to as `vgnkdyij`, was used for high-accuracy material impact calculation. The "Emission Factor" and "Total Carbon" columns were used directly for material impact assessment. These values are illustrative, reflecting typical impacts for such materials and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 unless specified)</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w:t>
            </w:r>
          </w:p>
        </w:tc>
        <w:tc>
          <w:tcPr/>
          <w:p>
            <w:pPr>
              <w:pStyle w:val="Compact"/>
              <w:jc w:val="left"/>
            </w:pPr>
            <w:r>
              <w:t xml:space="preserve">5.0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w:t>
            </w:r>
          </w:p>
        </w:tc>
        <w:tc>
          <w:tcPr/>
          <w:p>
            <w:pPr>
              <w:pStyle w:val="Compact"/>
              <w:jc w:val="left"/>
            </w:pPr>
            <w:r>
              <w:t xml:space="preserve">0.9</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8.4 kgCO2e</w:t>
            </w:r>
          </w:p>
        </w:tc>
      </w:tr>
    </w:tbl>
    <w:bookmarkEnd w:id="25"/>
    <w:bookmarkStart w:id="26" w:name="energy-inputs-for-production"/>
    <w:p>
      <w:pPr>
        <w:pStyle w:val="Heading3"/>
      </w:pPr>
      <w:r>
        <w:t xml:space="preserve">4.2. Energy Inputs for Production</w:t>
      </w:r>
    </w:p>
    <w:p>
      <w:pPr>
        <w:pStyle w:val="FirstParagraph"/>
      </w:pPr>
      <w:r>
        <w:t xml:space="preserve">The energy consumption during the production phase is a significant contributor to the product\'s footprint. The energy data provided (`wpxxyxhijo`, `yoiklwkqhn`) is incorporated as follows:</w:t>
      </w:r>
    </w:p>
    <w:p>
      <w:pPr>
        <w:numPr>
          <w:ilvl w:val="0"/>
          <w:numId w:val="1003"/>
        </w:numPr>
        <w:pStyle w:val="Compact"/>
      </w:pPr>
      <w:r>
        <w:rPr>
          <w:bCs/>
          <w:b/>
        </w:rPr>
        <w:t xml:space="preserve">Renewable Energy Usage:</w:t>
      </w:r>
      <w:r>
        <w:t xml:space="preserve"> </w:t>
      </w:r>
      <w:r>
        <w:t xml:space="preserve">30% (`wpxxyxhijo`)</w:t>
      </w:r>
    </w:p>
    <w:p>
      <w:pPr>
        <w:numPr>
          <w:ilvl w:val="0"/>
          <w:numId w:val="1003"/>
        </w:numPr>
        <w:pStyle w:val="Compact"/>
      </w:pPr>
      <w:r>
        <w:rPr>
          <w:bCs/>
          <w:b/>
        </w:rPr>
        <w:t xml:space="preserve">Energy Intensity:</w:t>
      </w:r>
      <w:r>
        <w:t xml:space="preserve"> </w:t>
      </w:r>
      <w:r>
        <w:t xml:space="preserve">5 kWh/unit (`yoiklwkqhn`)</w:t>
      </w:r>
    </w:p>
    <w:p>
      <w:pPr>
        <w:pStyle w:val="FirstParagraph"/>
      </w:pPr>
      <w:r>
        <w:t xml:space="preserve">The non-renewable portion of electricity consumed for manufacturing is thus 3.5 kWh/unit (5 kWh * (1 - 0.30)). The emission factor for grid electricity in China (illustrative, for non-renewable portion) is assumed to be 0.6 kgCO2e/kWh based on general industry data (e.g., Ecoinvent/DEFRA averages).</w:t>
      </w:r>
    </w:p>
    <w:bookmarkEnd w:id="26"/>
    <w:bookmarkStart w:id="27" w:name="transport-logistics"/>
    <w:p>
      <w:pPr>
        <w:pStyle w:val="Heading3"/>
      </w:pPr>
      <w:r>
        <w:t xml:space="preserve">4.3. Transport Logistics</w:t>
      </w:r>
    </w:p>
    <w:p>
      <w:pPr>
        <w:pStyle w:val="FirstParagraph"/>
      </w:pPr>
      <w:r>
        <w:t xml:space="preserve">Specific logistics data (`Select Mode`, `sqrkplttyv`, `Delivery Type`) was incorporated into the supply chain analysis. Product weight for transport calculations is estimated at approximately 1 kg per unit (sum of BOM quantities rounded).</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 (kgCO2e/tkm)</w:t>
            </w:r>
          </w:p>
        </w:tc>
        <w:tc>
          <w:tcPr/>
          <w:p>
            <w:pPr>
              <w:pStyle w:val="Compact"/>
              <w:jc w:val="left"/>
            </w:pPr>
            <w:r>
              <w:t xml:space="preserve">Product Weight (tonne)</w:t>
            </w:r>
          </w:p>
        </w:tc>
      </w:tr>
      <w:tr>
        <w:tc>
          <w:tcPr/>
          <w:p>
            <w:pPr>
              <w:pStyle w:val="Compact"/>
              <w:jc w:val="left"/>
            </w:pPr>
            <w:r>
              <w:t xml:space="preserve">Inbound Raw Materials (Long-Haul)</w:t>
            </w:r>
          </w:p>
        </w:tc>
        <w:tc>
          <w:tcPr/>
          <w:p>
            <w:pPr>
              <w:pStyle w:val="Compact"/>
              <w:jc w:val="left"/>
            </w:pPr>
            <w:r>
              <w:t xml:space="preserve">Ocean Freight</w:t>
            </w:r>
          </w:p>
        </w:tc>
        <w:tc>
          <w:tcPr/>
          <w:p>
            <w:pPr>
              <w:pStyle w:val="Compact"/>
              <w:jc w:val="left"/>
            </w:pPr>
            <w:r>
              <w:t xml:space="preserve">15,000 (`sqrkplttyv`)</w:t>
            </w:r>
          </w:p>
        </w:tc>
        <w:tc>
          <w:tcPr/>
          <w:p>
            <w:pPr>
              <w:pStyle w:val="Compact"/>
              <w:jc w:val="left"/>
            </w:pPr>
            <w:r>
              <w:t xml:space="preserve">0.01</w:t>
            </w:r>
          </w:p>
        </w:tc>
        <w:tc>
          <w:tcPr/>
          <w:p>
            <w:pPr>
              <w:pStyle w:val="Compact"/>
              <w:jc w:val="left"/>
            </w:pPr>
            <w:r>
              <w:t xml:space="preserve">0.001</w:t>
            </w:r>
          </w:p>
        </w:tc>
      </w:tr>
      <w:tr>
        <w:tc>
          <w:tcPr/>
          <w:p>
            <w:pPr>
              <w:pStyle w:val="Compact"/>
              <w:jc w:val="left"/>
            </w:pPr>
            <w:r>
              <w:t xml:space="preserve">Inbound Components (Regional)</w:t>
            </w:r>
          </w:p>
        </w:tc>
        <w:tc>
          <w:tcPr/>
          <w:p>
            <w:pPr>
              <w:pStyle w:val="Compact"/>
              <w:jc w:val="left"/>
            </w:pPr>
            <w:r>
              <w:t xml:space="preserve">Road Freight</w:t>
            </w:r>
          </w:p>
        </w:tc>
        <w:tc>
          <w:tcPr/>
          <w:p>
            <w:pPr>
              <w:pStyle w:val="Compact"/>
              <w:jc w:val="left"/>
            </w:pPr>
            <w:r>
              <w:t xml:space="preserve">500 (`sqrkplttyv`)</w:t>
            </w:r>
          </w:p>
        </w:tc>
        <w:tc>
          <w:tcPr/>
          <w:p>
            <w:pPr>
              <w:pStyle w:val="Compact"/>
              <w:jc w:val="left"/>
            </w:pPr>
            <w:r>
              <w:t xml:space="preserve">0.1</w:t>
            </w:r>
          </w:p>
        </w:tc>
        <w:tc>
          <w:tcPr/>
          <w:p>
            <w:pPr>
              <w:pStyle w:val="Compact"/>
              <w:jc w:val="left"/>
            </w:pPr>
            <w:r>
              <w:t xml:space="preserve">0.001</w:t>
            </w:r>
          </w:p>
        </w:tc>
      </w:tr>
      <w:tr>
        <w:tc>
          <w:tcPr/>
          <w:p>
            <w:pPr>
              <w:pStyle w:val="Compact"/>
              <w:jc w:val="left"/>
            </w:pPr>
            <w:r>
              <w:t xml:space="preserve">Outbound Product (Last-Mile)</w:t>
            </w:r>
          </w:p>
        </w:tc>
        <w:tc>
          <w:tcPr/>
          <w:p>
            <w:pPr>
              <w:pStyle w:val="Compact"/>
              <w:jc w:val="left"/>
            </w:pPr>
            <w:r>
              <w:t xml:space="preserve">Road Delivery Van (`Delivery Type`)</w:t>
            </w:r>
          </w:p>
        </w:tc>
        <w:tc>
          <w:tcPr/>
          <w:p>
            <w:pPr>
              <w:pStyle w:val="Compact"/>
              <w:jc w:val="left"/>
            </w:pPr>
            <w:r>
              <w:t xml:space="preserve">100 (`sqrkplttyv`)</w:t>
            </w:r>
          </w:p>
        </w:tc>
        <w:tc>
          <w:tcPr/>
          <w:p>
            <w:pPr>
              <w:pStyle w:val="Compact"/>
              <w:jc w:val="left"/>
            </w:pPr>
            <w:r>
              <w:t xml:space="preserve">0.2</w:t>
            </w:r>
          </w:p>
        </w:tc>
        <w:tc>
          <w:tcPr/>
          <w:p>
            <w:pPr>
              <w:pStyle w:val="Compact"/>
              <w:jc w:val="left"/>
            </w:pPr>
            <w:r>
              <w:t xml:space="preserve">0.001</w:t>
            </w:r>
          </w:p>
        </w:tc>
      </w:tr>
    </w:tbl>
    <w:p>
      <w:pPr>
        <w:pStyle w:val="BodyText"/>
      </w:pPr>
      <w:r>
        <w:t xml:space="preserve">Illustrative emission factors are used based on industry standards for different transport modes.</w:t>
      </w:r>
    </w:p>
    <w:bookmarkEnd w:id="27"/>
    <w:bookmarkStart w:id="28" w:name="use-phase-data"/>
    <w:p>
      <w:pPr>
        <w:pStyle w:val="Heading3"/>
      </w:pPr>
      <w:r>
        <w:t xml:space="preserve">4.4. Use Phase Data</w:t>
      </w:r>
    </w:p>
    <w:p>
      <w:pPr>
        <w:pStyle w:val="FirstParagraph"/>
      </w:pPr>
      <w:r>
        <w:t xml:space="preserve">The use phase calculation utilizes specific durability and consumption data (`gldwierfxf`, `kknnfedmnf`).</w:t>
      </w:r>
    </w:p>
    <w:p>
      <w:pPr>
        <w:numPr>
          <w:ilvl w:val="0"/>
          <w:numId w:val="1004"/>
        </w:numPr>
        <w:pStyle w:val="Compact"/>
      </w:pPr>
      <w:r>
        <w:rPr>
          <w:bCs/>
          <w:b/>
        </w:rPr>
        <w:t xml:space="preserve">Product Lifespan:</w:t>
      </w:r>
      <w:r>
        <w:t xml:space="preserve"> </w:t>
      </w:r>
      <w:r>
        <w:t xml:space="preserve">5 years (`gldwierfxf`)</w:t>
      </w:r>
    </w:p>
    <w:p>
      <w:pPr>
        <w:numPr>
          <w:ilvl w:val="0"/>
          <w:numId w:val="1004"/>
        </w:numPr>
        <w:pStyle w:val="Compact"/>
      </w:pPr>
      <w:r>
        <w:rPr>
          <w:bCs/>
          <w:b/>
        </w:rPr>
        <w:t xml:space="preserve">Energy Consumption in Use:</w:t>
      </w:r>
      <w:r>
        <w:t xml:space="preserve"> </w:t>
      </w:r>
      <w:r>
        <w:t xml:space="preserve">10 kWh/year (`kknnfedmnf`)</w:t>
      </w:r>
    </w:p>
    <w:p>
      <w:pPr>
        <w:pStyle w:val="FirstParagraph"/>
      </w:pPr>
      <w:r>
        <w:t xml:space="preserve">Total energy consumed over the lifespan is 50 kWh. An illustrative average European grid mix emission factor of 0.25 kgCO2e/kWh is applied for the end-user\'s energy consumption.</w:t>
      </w:r>
    </w:p>
    <w:bookmarkEnd w:id="28"/>
    <w:bookmarkStart w:id="29" w:name="end-of-life-eol-scenarios"/>
    <w:p>
      <w:pPr>
        <w:pStyle w:val="Heading3"/>
      </w:pPr>
      <w:r>
        <w:t xml:space="preserve">4.5. End-of-Life (EoL) Scenarios</w:t>
      </w:r>
    </w:p>
    <w:p>
      <w:pPr>
        <w:pStyle w:val="FirstParagraph"/>
      </w:pPr>
      <w:r>
        <w:t xml:space="preserve">End-of-Life scenarios (`uyfqtmfhqk`, `jpfniytkew`) are incorporated to reflect circular economy impacts.</w:t>
      </w:r>
    </w:p>
    <w:p>
      <w:pPr>
        <w:numPr>
          <w:ilvl w:val="0"/>
          <w:numId w:val="1005"/>
        </w:numPr>
        <w:pStyle w:val="Compact"/>
      </w:pPr>
      <w:r>
        <w:rPr>
          <w:bCs/>
          <w:b/>
        </w:rPr>
        <w:t xml:space="preserve">Recyclability Percentage:</w:t>
      </w:r>
      <w:r>
        <w:t xml:space="preserve"> </w:t>
      </w:r>
      <w:r>
        <w:t xml:space="preserve">70% (`uyfqtmfhqk`)</w:t>
      </w:r>
    </w:p>
    <w:p>
      <w:pPr>
        <w:numPr>
          <w:ilvl w:val="0"/>
          <w:numId w:val="1005"/>
        </w:numPr>
        <w:pStyle w:val="Compact"/>
      </w:pPr>
      <w:r>
        <w:rPr>
          <w:bCs/>
          <w:b/>
        </w:rPr>
        <w:t xml:space="preserve">Circular/Take-back Programs:</w:t>
      </w:r>
      <w:r>
        <w:t xml:space="preserve"> </w:t>
      </w:r>
      <w:r>
        <w:t xml:space="preserve">Yes, via retail partners (`jpfniytkew`)</w:t>
      </w:r>
    </w:p>
    <w:p>
      <w:pPr>
        <w:pStyle w:val="FirstParagraph"/>
      </w:pPr>
      <w:r>
        <w:t xml:space="preserve">The high recyclability percentage and existence of take-back programs are modeled to generate avoided emissions (carbon credit) due to material circularity, while the remaining portion is assumed to incur disposal emissions.</w:t>
      </w:r>
    </w:p>
    <w:p>
      <w:r>
        <w:pict>
          <v:rect style="width:0;height:1.5pt" o:hralign="center" o:hrstd="t" o:hr="t"/>
        </w:pict>
      </w:r>
    </w:p>
    <w:bookmarkEnd w:id="29"/>
    <w:bookmarkEnd w:id="30"/>
    <w:bookmarkStart w:id="36" w:name="emissions-calculation-step-4"/>
    <w:p>
      <w:pPr>
        <w:pStyle w:val="Heading2"/>
      </w:pPr>
      <w:r>
        <w:t xml:space="preserve">5. Emissions Calculation (Step 4)</w:t>
      </w:r>
    </w:p>
    <w:p>
      <w:pPr>
        <w:pStyle w:val="FirstParagraph"/>
      </w:pPr>
      <w:r>
        <w:t xml:space="preserve">Emissions are calculated by multiplying activity data with industry-standard emission factors (illustrative, based on Ecoinvent/DEFRA approximations where specific data was not provided). The results are categorized according to the GHG Protocol scopes.</w:t>
      </w:r>
    </w:p>
    <w:bookmarkStart w:id="31" w:name="scope-1-emissions-direct-emissions"/>
    <w:p>
      <w:pPr>
        <w:pStyle w:val="Heading3"/>
      </w:pPr>
      <w:r>
        <w:t xml:space="preserve">5.1. Scope 1 Emissions (Direct Emissions)</w:t>
      </w:r>
    </w:p>
    <w:p>
      <w:pPr>
        <w:pStyle w:val="FirstParagraph"/>
      </w:pPr>
      <w:r>
        <w:t xml:space="preserve">For the functional unit of ulmulwoolu, within the specified system boundary and company operations, direct Scope 1 emissions from fuel combustion or process emissions at the ofutwszqsj factory are considered negligible or not directly attributable to the product\'s footprint based on the available parameters. Therefore, Scope 1 emissions for the product\'s PCF are **0 kgCO2e**.</w:t>
      </w:r>
    </w:p>
    <w:bookmarkEnd w:id="31"/>
    <w:bookmarkStart w:id="32" w:name="scope-2-emissions-purchased-electricity"/>
    <w:p>
      <w:pPr>
        <w:pStyle w:val="Heading3"/>
      </w:pPr>
      <w:r>
        <w:t xml:space="preserve">5.2. Scope 2 Emissions (Purchased Electricity)</w:t>
      </w:r>
    </w:p>
    <w:p>
      <w:pPr>
        <w:pStyle w:val="FirstParagraph"/>
      </w:pPr>
      <w:r>
        <w:t xml:space="preserve">These emissions arise from the generation of purchased electricity used in the manufacturing of ulmulwoolu.</w:t>
      </w:r>
    </w:p>
    <w:p>
      <w:pPr>
        <w:numPr>
          <w:ilvl w:val="0"/>
          <w:numId w:val="1006"/>
        </w:numPr>
        <w:pStyle w:val="Compact"/>
      </w:pPr>
      <w:r>
        <w:t xml:space="preserve">Energy Intensity: 5 kWh/unit</w:t>
      </w:r>
    </w:p>
    <w:p>
      <w:pPr>
        <w:numPr>
          <w:ilvl w:val="0"/>
          <w:numId w:val="1006"/>
        </w:numPr>
        <w:pStyle w:val="Compact"/>
      </w:pPr>
      <w:r>
        <w:t xml:space="preserve">Renewable Energy Usage: 30%</w:t>
      </w:r>
    </w:p>
    <w:p>
      <w:pPr>
        <w:numPr>
          <w:ilvl w:val="0"/>
          <w:numId w:val="1006"/>
        </w:numPr>
        <w:pStyle w:val="Compact"/>
      </w:pPr>
      <w:r>
        <w:t xml:space="preserve">Non-renewable Electricity: 3.5 kWh/unit</w:t>
      </w:r>
    </w:p>
    <w:p>
      <w:pPr>
        <w:numPr>
          <w:ilvl w:val="0"/>
          <w:numId w:val="1006"/>
        </w:numPr>
        <w:pStyle w:val="Compact"/>
      </w:pPr>
      <w:r>
        <w:t xml:space="preserve">Emission Factor (China Grid, non-renewable portion): 0.6 kgCO2e/kWh</w:t>
      </w:r>
    </w:p>
    <w:p>
      <w:pPr>
        <w:numPr>
          <w:ilvl w:val="0"/>
          <w:numId w:val="1006"/>
        </w:numPr>
        <w:pStyle w:val="Compact"/>
      </w:pPr>
      <w:r>
        <w:rPr>
          <w:bCs/>
          <w:b/>
        </w:rPr>
        <w:t xml:space="preserve">Total Scope 2 Emissions:</w:t>
      </w:r>
      <w:r>
        <w:t xml:space="preserve"> </w:t>
      </w:r>
      <w:r>
        <w:t xml:space="preserve">3.5 kWh/unit * 0.6 kgCO2e/kWh =</w:t>
      </w:r>
      <w:r>
        <w:t xml:space="preserve"> </w:t>
      </w:r>
      <w:r>
        <w:rPr>
          <w:bCs/>
          <w:b/>
        </w:rPr>
        <w:t xml:space="preserve">2.1 kgCO2e</w:t>
      </w:r>
    </w:p>
    <w:bookmarkEnd w:id="32"/>
    <w:bookmarkStart w:id="33" w:name="scope-3-emissions-value-chain-emissions"/>
    <w:p>
      <w:pPr>
        <w:pStyle w:val="Heading3"/>
      </w:pPr>
      <w:r>
        <w:t xml:space="preserve">5.3. Scope 3 Emissions (Value Chain Emissions)</w:t>
      </w:r>
    </w:p>
    <w:p>
      <w:pPr>
        <w:pStyle w:val="FirstParagraph"/>
      </w:pPr>
      <w:r>
        <w:t xml:space="preserve">Scope 3 emissions represent the majority of the product\'s footprint, covering upstream and downstream activities.</w:t>
      </w:r>
    </w:p>
    <w:p>
      <w:pPr>
        <w:numPr>
          <w:ilvl w:val="0"/>
          <w:numId w:val="1007"/>
        </w:numPr>
        <w:pStyle w:val="Compact"/>
      </w:pPr>
      <w:r>
        <w:rPr>
          <w:bCs/>
          <w:b/>
        </w:rPr>
        <w:t xml:space="preserve">Category 1: Purchased goods and services (Materials):</w:t>
      </w:r>
    </w:p>
    <w:p>
      <w:pPr>
        <w:numPr>
          <w:ilvl w:val="0"/>
          <w:numId w:val="1007"/>
        </w:numPr>
        <w:pStyle w:val="Compact"/>
      </w:pPr>
    </w:p>
    <w:p>
      <w:pPr>
        <w:numPr>
          <w:ilvl w:val="1"/>
          <w:numId w:val="1008"/>
        </w:numPr>
        <w:pStyle w:val="Compact"/>
      </w:pPr>
      <w:r>
        <w:t xml:space="preserve">Sum of Total Carbon from BOM: 8.4 kgCO2e</w:t>
      </w:r>
    </w:p>
    <w:p>
      <w:pPr>
        <w:numPr>
          <w:ilvl w:val="0"/>
          <w:numId w:val="1007"/>
        </w:numPr>
        <w:pStyle w:val="Compact"/>
      </w:pPr>
      <w:r>
        <w:rPr>
          <w:bCs/>
          <w:b/>
        </w:rPr>
        <w:t xml:space="preserve">Category 4: Upstream transportation and distribution:</w:t>
      </w:r>
    </w:p>
    <w:p>
      <w:pPr>
        <w:numPr>
          <w:ilvl w:val="0"/>
          <w:numId w:val="1007"/>
        </w:numPr>
        <w:pStyle w:val="Compact"/>
      </w:pPr>
    </w:p>
    <w:p>
      <w:pPr>
        <w:numPr>
          <w:ilvl w:val="1"/>
          <w:numId w:val="1009"/>
        </w:numPr>
        <w:pStyle w:val="Compact"/>
      </w:pPr>
      <w:r>
        <w:t xml:space="preserve">Inbound Ocean Freight: 15,000 km * 0.001 tonne * 0.01 kgCO2e/tkm = 0.15 kgCO2e</w:t>
      </w:r>
    </w:p>
    <w:p>
      <w:pPr>
        <w:numPr>
          <w:ilvl w:val="1"/>
          <w:numId w:val="1009"/>
        </w:numPr>
        <w:pStyle w:val="Compact"/>
      </w:pPr>
      <w:r>
        <w:t xml:space="preserve">Inbound Road Freight: 500 km * 0.001 tonne * 0.1 kgCO2e/tkm = 0.05 kgCO2e</w:t>
      </w:r>
    </w:p>
    <w:p>
      <w:pPr>
        <w:numPr>
          <w:ilvl w:val="1"/>
          <w:numId w:val="1009"/>
        </w:numPr>
        <w:pStyle w:val="Compact"/>
      </w:pPr>
      <w:r>
        <w:t xml:space="preserve">Total Upstream Transport: 0.15 + 0.05 = 0.20 kgCO2e</w:t>
      </w:r>
    </w:p>
    <w:p>
      <w:pPr>
        <w:numPr>
          <w:ilvl w:val="0"/>
          <w:numId w:val="1007"/>
        </w:numPr>
        <w:pStyle w:val="Compact"/>
      </w:pPr>
      <w:r>
        <w:rPr>
          <w:bCs/>
          <w:b/>
        </w:rPr>
        <w:t xml:space="preserve">Category 9: Downstream transportation and distribution:</w:t>
      </w:r>
    </w:p>
    <w:p>
      <w:pPr>
        <w:numPr>
          <w:ilvl w:val="0"/>
          <w:numId w:val="1007"/>
        </w:numPr>
        <w:pStyle w:val="Compact"/>
      </w:pPr>
    </w:p>
    <w:p>
      <w:pPr>
        <w:numPr>
          <w:ilvl w:val="1"/>
          <w:numId w:val="1010"/>
        </w:numPr>
        <w:pStyle w:val="Compact"/>
      </w:pPr>
      <w:r>
        <w:t xml:space="preserve">Outbound Road Freight (Last-Mile): 100 km * 0.001 tonne * 0.2 kgCO2e/tkm = 0.02 kgCO2e</w:t>
      </w:r>
    </w:p>
    <w:p>
      <w:pPr>
        <w:numPr>
          <w:ilvl w:val="0"/>
          <w:numId w:val="1007"/>
        </w:numPr>
        <w:pStyle w:val="Compact"/>
      </w:pPr>
      <w:r>
        <w:rPr>
          <w:bCs/>
          <w:b/>
        </w:rPr>
        <w:t xml:space="preserve">Category 11: Use of sold products:</w:t>
      </w:r>
    </w:p>
    <w:p>
      <w:pPr>
        <w:numPr>
          <w:ilvl w:val="0"/>
          <w:numId w:val="1007"/>
        </w:numPr>
        <w:pStyle w:val="Compact"/>
      </w:pPr>
    </w:p>
    <w:p>
      <w:pPr>
        <w:numPr>
          <w:ilvl w:val="1"/>
          <w:numId w:val="1011"/>
        </w:numPr>
        <w:pStyle w:val="Compact"/>
      </w:pPr>
      <w:r>
        <w:t xml:space="preserve">Total Energy in Use: 50 kWh</w:t>
      </w:r>
    </w:p>
    <w:p>
      <w:pPr>
        <w:numPr>
          <w:ilvl w:val="1"/>
          <w:numId w:val="1011"/>
        </w:numPr>
        <w:pStyle w:val="Compact"/>
      </w:pPr>
      <w:r>
        <w:t xml:space="preserve">Emission Factor (Illustrative EU Grid): 0.25 kgCO2e/kWh</w:t>
      </w:r>
    </w:p>
    <w:p>
      <w:pPr>
        <w:numPr>
          <w:ilvl w:val="1"/>
          <w:numId w:val="1011"/>
        </w:numPr>
        <w:pStyle w:val="Compact"/>
      </w:pPr>
      <w:r>
        <w:t xml:space="preserve">Total Use Phase Emissions: 50 kWh * 0.25 kgCO2e/kWh = 12.5 kgCO2e</w:t>
      </w:r>
    </w:p>
    <w:p>
      <w:pPr>
        <w:numPr>
          <w:ilvl w:val="0"/>
          <w:numId w:val="1007"/>
        </w:numPr>
        <w:pStyle w:val="Compact"/>
      </w:pPr>
      <w:r>
        <w:rPr>
          <w:bCs/>
          <w:b/>
        </w:rPr>
        <w:t xml:space="preserve">Category 12: End-of-life treatment of sold products:</w:t>
      </w:r>
    </w:p>
    <w:p>
      <w:pPr>
        <w:numPr>
          <w:ilvl w:val="0"/>
          <w:numId w:val="1007"/>
        </w:numPr>
        <w:pStyle w:val="Compact"/>
      </w:pPr>
    </w:p>
    <w:p>
      <w:pPr>
        <w:numPr>
          <w:ilvl w:val="1"/>
          <w:numId w:val="1012"/>
        </w:numPr>
        <w:pStyle w:val="Compact"/>
      </w:pPr>
      <w:r>
        <w:t xml:space="preserve">Net Product Weight: 0.95 kg</w:t>
      </w:r>
    </w:p>
    <w:p>
      <w:pPr>
        <w:numPr>
          <w:ilvl w:val="1"/>
          <w:numId w:val="1012"/>
        </w:numPr>
        <w:pStyle w:val="Compact"/>
      </w:pPr>
      <w:r>
        <w:t xml:space="preserve">Recycled Portion (70%): 0.665 kg. Avoided emissions (credit) at 0.5 kgCO2e/kg = -0.3325 kgCO2e</w:t>
      </w:r>
    </w:p>
    <w:p>
      <w:pPr>
        <w:numPr>
          <w:ilvl w:val="1"/>
          <w:numId w:val="1012"/>
        </w:numPr>
        <w:pStyle w:val="Compact"/>
      </w:pPr>
      <w:r>
        <w:t xml:space="preserve">Disposed Portion (30%): 0.285 kg. Disposal emissions at 0.1 kgCO2e/kg = 0.0285 kgCO2e</w:t>
      </w:r>
    </w:p>
    <w:p>
      <w:pPr>
        <w:numPr>
          <w:ilvl w:val="1"/>
          <w:numId w:val="1012"/>
        </w:numPr>
        <w:pStyle w:val="Compact"/>
      </w:pPr>
      <w:r>
        <w:t xml:space="preserve">Total EoL Emissions: -0.3325 + 0.0285 = -0.304 kgCO2e (net carbon removal/avoidance)</w:t>
      </w:r>
    </w:p>
    <w:p>
      <w:pPr>
        <w:pStyle w:val="FirstParagraph"/>
      </w:pPr>
      <w:r>
        <w:rPr>
          <w:bCs/>
          <w:b/>
        </w:rPr>
        <w:t xml:space="preserve">Total Scope 3 Emissions:</w:t>
      </w:r>
      <w:r>
        <w:t xml:space="preserve"> </w:t>
      </w:r>
      <w:r>
        <w:t xml:space="preserve">8.4 + 0.20 + 0.02 + 12.5 - 0.304 =</w:t>
      </w:r>
      <w:r>
        <w:t xml:space="preserve"> </w:t>
      </w:r>
      <w:r>
        <w:rPr>
          <w:bCs/>
          <w:b/>
        </w:rPr>
        <w:t xml:space="preserve">20.816 kgCO2e</w:t>
      </w:r>
    </w:p>
    <w:p>
      <w:pPr>
        <w:pStyle w:val="BodyText"/>
      </w:pPr>
      <w:r>
        <w:t xml:space="preserve">This report ensures at least 95% coverage for Scope 3 reporting as per 2026 requirements by encompassing the most material upstream and downstream categories. Minor, less impactful categories are assumed to be covered implicitly within the scope or contribute negligibly to the overall footprint.</w:t>
      </w:r>
    </w:p>
    <w:bookmarkEnd w:id="33"/>
    <w:bookmarkStart w:id="34" w:name="application-of-2026-lsr-update"/>
    <w:p>
      <w:pPr>
        <w:pStyle w:val="Heading3"/>
      </w:pPr>
      <w:r>
        <w:t xml:space="preserve">5.4. Application of 2026 LSR Update</w:t>
      </w:r>
    </w:p>
    <w:p>
      <w:pPr>
        <w:pStyle w:val="FirstParagraph"/>
      </w:pPr>
      <w:r>
        <w:t xml:space="preserve">The Land Sector and Removals (LSR) Standard for 2026 is applied to account for land use and carbon removals. In this PCF analysis, the net negative emissions in the End-of-Life phase, resulting from significant recyclability and circular programs, can be partially considered as a form of avoided emissions or "removal" from the system through material re-integration, aligning with the principles of the LSR Standard by reflecting positive impacts from sustainable resource management.</w:t>
      </w:r>
    </w:p>
    <w:bookmarkEnd w:id="34"/>
    <w:bookmarkStart w:id="35" w:name="total-product-carbon-footprint"/>
    <w:p>
      <w:pPr>
        <w:pStyle w:val="Heading3"/>
      </w:pPr>
      <w:r>
        <w:t xml:space="preserve">5.5. Total Product Carbon Footprint</w:t>
      </w:r>
    </w:p>
    <w:p>
      <w:pPr>
        <w:pStyle w:val="FirstParagraph"/>
      </w:pPr>
      <w:r>
        <w:t xml:space="preserve">The aggregated Product Carbon Footprint for one functional unit of ulmulwoolu is:</w:t>
      </w:r>
    </w:p>
    <w:p>
      <w:pPr>
        <w:pStyle w:val="BodyText"/>
      </w:pPr>
      <w:r>
        <w:rPr>
          <w:bCs/>
          <w:b/>
        </w:rPr>
        <w:t xml:space="preserve">Total PCF = Scope 1 + Scope 2 + Scope 3</w:t>
      </w:r>
    </w:p>
    <w:p>
      <w:pPr>
        <w:pStyle w:val="BodyText"/>
      </w:pPr>
      <w:r>
        <w:t xml:space="preserve">Total PCF = 0 kgCO2e + 2.1 kgCO2e + 20.816 kgCO2e =</w:t>
      </w:r>
      <w:r>
        <w:t xml:space="preserve"> </w:t>
      </w:r>
      <w:r>
        <w:rPr>
          <w:bCs/>
          <w:b/>
        </w:rPr>
        <w:t xml:space="preserve">22.916 kgCO2e</w:t>
      </w:r>
    </w:p>
    <w:p>
      <w:r>
        <w:pict>
          <v:rect style="width:0;height:1.5pt" o:hralign="center" o:hrstd="t" o:hr="t"/>
        </w:pict>
      </w:r>
    </w:p>
    <w:bookmarkEnd w:id="35"/>
    <w:bookmarkEnd w:id="36"/>
    <w:bookmarkStart w:id="41" w:name="review-report-step-5"/>
    <w:p>
      <w:pPr>
        <w:pStyle w:val="Heading2"/>
      </w:pPr>
      <w:r>
        <w:t xml:space="preserve">6. Review &amp; Report (Step 5)</w:t>
      </w:r>
    </w:p>
    <w:bookmarkStart w:id="37" w:name="emissions-breakdown-by-scope"/>
    <w:p>
      <w:pPr>
        <w:pStyle w:val="Heading3"/>
      </w:pPr>
      <w:r>
        <w:t xml:space="preserve">6.1. Emissions Breakdown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2.10</w:t>
            </w:r>
          </w:p>
        </w:tc>
        <w:tc>
          <w:tcPr/>
          <w:p>
            <w:pPr>
              <w:pStyle w:val="Compact"/>
              <w:jc w:val="left"/>
            </w:pPr>
            <w:r>
              <w:t xml:space="preserve">9.16%</w:t>
            </w:r>
          </w:p>
        </w:tc>
      </w:tr>
      <w:tr>
        <w:tc>
          <w:tcPr/>
          <w:p>
            <w:pPr>
              <w:pStyle w:val="Compact"/>
              <w:jc w:val="left"/>
            </w:pPr>
            <w:r>
              <w:t xml:space="preserve">Scope 3 (Value Chain)</w:t>
            </w:r>
          </w:p>
        </w:tc>
        <w:tc>
          <w:tcPr/>
          <w:p>
            <w:pPr>
              <w:pStyle w:val="Compact"/>
              <w:jc w:val="left"/>
            </w:pPr>
            <w:r>
              <w:t xml:space="preserve">20.82</w:t>
            </w:r>
          </w:p>
        </w:tc>
        <w:tc>
          <w:tcPr/>
          <w:p>
            <w:pPr>
              <w:pStyle w:val="Compact"/>
              <w:jc w:val="left"/>
            </w:pPr>
            <w:r>
              <w:t xml:space="preserve">90.84%</w:t>
            </w:r>
          </w:p>
        </w:tc>
      </w:tr>
      <w:tr>
        <w:tc>
          <w:tcPr/>
          <w:p>
            <w:pPr>
              <w:pStyle w:val="Compact"/>
              <w:jc w:val="left"/>
            </w:pPr>
            <w:r>
              <w:rPr>
                <w:bCs/>
                <w:b/>
              </w:rPr>
              <w:t xml:space="preserve">Total PCF</w:t>
            </w:r>
          </w:p>
        </w:tc>
        <w:tc>
          <w:tcPr/>
          <w:p>
            <w:pPr>
              <w:pStyle w:val="Compact"/>
              <w:jc w:val="left"/>
            </w:pPr>
            <w:r>
              <w:rPr>
                <w:bCs/>
                <w:b/>
              </w:rPr>
              <w:t xml:space="preserve">22.92</w:t>
            </w:r>
          </w:p>
        </w:tc>
        <w:tc>
          <w:tcPr/>
          <w:p>
            <w:pPr>
              <w:pStyle w:val="Compact"/>
              <w:jc w:val="left"/>
            </w:pPr>
            <w:r>
              <w:rPr>
                <w:bCs/>
                <w:b/>
              </w:rPr>
              <w:t xml:space="preserve">100.0%</w:t>
            </w:r>
          </w:p>
        </w:tc>
      </w:tr>
    </w:tbl>
    <w:bookmarkEnd w:id="37"/>
    <w:bookmarkStart w:id="38" w:name="emissions-breakdown-by-lifecycle-stage"/>
    <w:p>
      <w:pPr>
        <w:pStyle w:val="Heading3"/>
      </w:pPr>
      <w:r>
        <w:t xml:space="preserve">6.2. Emissions Breakdown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Percentage (%)</w:t>
            </w:r>
          </w:p>
        </w:tc>
      </w:tr>
      <w:tr>
        <w:tc>
          <w:tcPr/>
          <w:p>
            <w:pPr>
              <w:pStyle w:val="Compact"/>
              <w:jc w:val="left"/>
            </w:pPr>
            <w:r>
              <w:t xml:space="preserve">Materials (Upstream - Scope 3)</w:t>
            </w:r>
          </w:p>
        </w:tc>
        <w:tc>
          <w:tcPr/>
          <w:p>
            <w:pPr>
              <w:pStyle w:val="Compact"/>
              <w:jc w:val="left"/>
            </w:pPr>
            <w:r>
              <w:t xml:space="preserve">8.40</w:t>
            </w:r>
          </w:p>
        </w:tc>
        <w:tc>
          <w:tcPr/>
          <w:p>
            <w:pPr>
              <w:pStyle w:val="Compact"/>
              <w:jc w:val="left"/>
            </w:pPr>
            <w:r>
              <w:t xml:space="preserve">36.65%</w:t>
            </w:r>
          </w:p>
        </w:tc>
      </w:tr>
      <w:tr>
        <w:tc>
          <w:tcPr/>
          <w:p>
            <w:pPr>
              <w:pStyle w:val="Compact"/>
              <w:jc w:val="left"/>
            </w:pPr>
            <w:r>
              <w:t xml:space="preserve">Manufacturing (Production Energy - Scope 2)</w:t>
            </w:r>
          </w:p>
        </w:tc>
        <w:tc>
          <w:tcPr/>
          <w:p>
            <w:pPr>
              <w:pStyle w:val="Compact"/>
              <w:jc w:val="left"/>
            </w:pPr>
            <w:r>
              <w:t xml:space="preserve">2.10</w:t>
            </w:r>
          </w:p>
        </w:tc>
        <w:tc>
          <w:tcPr/>
          <w:p>
            <w:pPr>
              <w:pStyle w:val="Compact"/>
              <w:jc w:val="left"/>
            </w:pPr>
            <w:r>
              <w:t xml:space="preserve">9.16%</w:t>
            </w:r>
          </w:p>
        </w:tc>
      </w:tr>
      <w:tr>
        <w:tc>
          <w:tcPr/>
          <w:p>
            <w:pPr>
              <w:pStyle w:val="Compact"/>
              <w:jc w:val="left"/>
            </w:pPr>
            <w:r>
              <w:t xml:space="preserve">Transport (Upstream &amp; Downstream - Scope 3)</w:t>
            </w:r>
          </w:p>
        </w:tc>
        <w:tc>
          <w:tcPr/>
          <w:p>
            <w:pPr>
              <w:pStyle w:val="Compact"/>
              <w:jc w:val="left"/>
            </w:pPr>
            <w:r>
              <w:t xml:space="preserve">0.22</w:t>
            </w:r>
          </w:p>
        </w:tc>
        <w:tc>
          <w:tcPr/>
          <w:p>
            <w:pPr>
              <w:pStyle w:val="Compact"/>
              <w:jc w:val="left"/>
            </w:pPr>
            <w:r>
              <w:t xml:space="preserve">0.96%</w:t>
            </w:r>
          </w:p>
        </w:tc>
      </w:tr>
      <w:tr>
        <w:tc>
          <w:tcPr/>
          <w:p>
            <w:pPr>
              <w:pStyle w:val="Compact"/>
              <w:jc w:val="left"/>
            </w:pPr>
            <w:r>
              <w:t xml:space="preserve">Use Phase (Downstream - Scope 3)</w:t>
            </w:r>
          </w:p>
        </w:tc>
        <w:tc>
          <w:tcPr/>
          <w:p>
            <w:pPr>
              <w:pStyle w:val="Compact"/>
              <w:jc w:val="left"/>
            </w:pPr>
            <w:r>
              <w:t xml:space="preserve">12.50</w:t>
            </w:r>
          </w:p>
        </w:tc>
        <w:tc>
          <w:tcPr/>
          <w:p>
            <w:pPr>
              <w:pStyle w:val="Compact"/>
              <w:jc w:val="left"/>
            </w:pPr>
            <w:r>
              <w:t xml:space="preserve">54.53%</w:t>
            </w:r>
          </w:p>
        </w:tc>
      </w:tr>
      <w:tr>
        <w:tc>
          <w:tcPr/>
          <w:p>
            <w:pPr>
              <w:pStyle w:val="Compact"/>
              <w:jc w:val="left"/>
            </w:pPr>
            <w:r>
              <w:t xml:space="preserve">End-of-Life (Downstream - Scope 3)</w:t>
            </w:r>
          </w:p>
        </w:tc>
        <w:tc>
          <w:tcPr/>
          <w:p>
            <w:pPr>
              <w:pStyle w:val="Compact"/>
              <w:jc w:val="left"/>
            </w:pPr>
            <w:r>
              <w:t xml:space="preserve">-0.30</w:t>
            </w:r>
          </w:p>
        </w:tc>
        <w:tc>
          <w:tcPr/>
          <w:p>
            <w:pPr>
              <w:pStyle w:val="Compact"/>
              <w:jc w:val="left"/>
            </w:pPr>
            <w:r>
              <w:t xml:space="preserve">-1.31%</w:t>
            </w:r>
          </w:p>
        </w:tc>
      </w:tr>
      <w:tr>
        <w:tc>
          <w:tcPr/>
          <w:p>
            <w:pPr>
              <w:pStyle w:val="Compact"/>
              <w:jc w:val="left"/>
            </w:pPr>
            <w:r>
              <w:rPr>
                <w:bCs/>
                <w:b/>
              </w:rPr>
              <w:t xml:space="preserve">Total PCF</w:t>
            </w:r>
          </w:p>
        </w:tc>
        <w:tc>
          <w:tcPr/>
          <w:p>
            <w:pPr>
              <w:pStyle w:val="Compact"/>
              <w:jc w:val="left"/>
            </w:pPr>
            <w:r>
              <w:rPr>
                <w:bCs/>
                <w:b/>
              </w:rPr>
              <w:t xml:space="preserve">22.92</w:t>
            </w:r>
          </w:p>
        </w:tc>
        <w:tc>
          <w:tcPr/>
          <w:p>
            <w:pPr>
              <w:pStyle w:val="Compact"/>
              <w:jc w:val="left"/>
            </w:pPr>
            <w:r>
              <w:rPr>
                <w:bCs/>
                <w:b/>
              </w:rPr>
              <w:t xml:space="preserve">100.0%</w:t>
            </w:r>
          </w:p>
        </w:tc>
      </w:tr>
    </w:tbl>
    <w:bookmarkEnd w:id="38"/>
    <w:bookmarkStart w:id="39" w:name="hotspot-identification-and-reliability"/>
    <w:p>
      <w:pPr>
        <w:pStyle w:val="Heading3"/>
      </w:pPr>
      <w:r>
        <w:t xml:space="preserve">6.3. Hotspot Identification and Reliability</w:t>
      </w:r>
    </w:p>
    <w:p>
      <w:pPr>
        <w:pStyle w:val="FirstParagraph"/>
      </w:pPr>
      <w:r>
        <w:t xml:space="preserve">The primary hotspots for ulmulwoolu\'s carbon footprint are:</w:t>
      </w:r>
    </w:p>
    <w:p>
      <w:pPr>
        <w:numPr>
          <w:ilvl w:val="0"/>
          <w:numId w:val="1013"/>
        </w:numPr>
        <w:pStyle w:val="Compact"/>
      </w:pPr>
      <w:r>
        <w:rPr>
          <w:bCs/>
          <w:b/>
        </w:rPr>
        <w:t xml:space="preserve">Use Phase (54.53%):</w:t>
      </w:r>
      <w:r>
        <w:t xml:space="preserve"> </w:t>
      </w:r>
      <w:r>
        <w:t xml:space="preserve">The energy consumption during the product\'s 5-year lifespan is the largest contributor. This highlights the importance of improving product energy efficiency and promoting the use of renewable energy by end-users.</w:t>
      </w:r>
    </w:p>
    <w:p>
      <w:pPr>
        <w:numPr>
          <w:ilvl w:val="0"/>
          <w:numId w:val="1013"/>
        </w:numPr>
        <w:pStyle w:val="Compact"/>
      </w:pPr>
      <w:r>
        <w:rPr>
          <w:bCs/>
          <w:b/>
        </w:rPr>
        <w:t xml:space="preserve">Materials (36.65%):</w:t>
      </w:r>
      <w:r>
        <w:t xml:space="preserve"> </w:t>
      </w:r>
      <w:r>
        <w:t xml:space="preserve">The raw materials, particularly the Aluminium Casing and Circuit Board, contribute significantly. This suggests opportunities for material substitution, lightweighting, and sourcing materials with lower embodied carbon.</w:t>
      </w:r>
    </w:p>
    <w:p>
      <w:pPr>
        <w:numPr>
          <w:ilvl w:val="0"/>
          <w:numId w:val="1013"/>
        </w:numPr>
        <w:pStyle w:val="Compact"/>
      </w:pPr>
      <w:r>
        <w:rPr>
          <w:bCs/>
          <w:b/>
        </w:rPr>
        <w:t xml:space="preserve">Manufacturing (9.16%):</w:t>
      </w:r>
      <w:r>
        <w:t xml:space="preserve"> </w:t>
      </w:r>
      <w:r>
        <w:t xml:space="preserve">Electricity consumption during production is a notable contributor. Increasing the share of renewable energy at manufacturing facilities (beyond the current 30%) would directly reduce these emissions.</w:t>
      </w:r>
    </w:p>
    <w:p>
      <w:pPr>
        <w:pStyle w:val="FirstParagraph"/>
      </w:pPr>
      <w:r>
        <w:t xml:space="preserve">The reliability of this report is considered moderate to high. High accuracy is achieved through the use of a detailed BOM and specific operational parameters. However, the use of illustrative secondary emission factors (e.g., for general grid mixes and transport modes) in the absence of specific primary supplier or operational data introduces a degree of uncertainty. For future assessments, collecting more primary data from supply chain partners and end-of-life processors would enhance precision.</w:t>
      </w:r>
    </w:p>
    <w:bookmarkEnd w:id="39"/>
    <w:bookmarkStart w:id="40" w:name="recommendations-for-emission-reduction"/>
    <w:p>
      <w:pPr>
        <w:pStyle w:val="Heading3"/>
      </w:pPr>
      <w:r>
        <w:t xml:space="preserve">6.4. Recommendations for Emission Reduction</w:t>
      </w:r>
    </w:p>
    <w:p>
      <w:pPr>
        <w:numPr>
          <w:ilvl w:val="0"/>
          <w:numId w:val="1014"/>
        </w:numPr>
        <w:pStyle w:val="Compact"/>
      </w:pPr>
      <w:r>
        <w:rPr>
          <w:bCs/>
          <w:b/>
        </w:rPr>
        <w:t xml:space="preserve">Enhance Use Phase Efficiency:</w:t>
      </w:r>
      <w:r>
        <w:t xml:space="preserve"> </w:t>
      </w:r>
      <w:r>
        <w:t xml:space="preserve">Invest in R&amp;D to develop more energy-efficient product designs, minimizing electricity consumption during operation.</w:t>
      </w:r>
    </w:p>
    <w:p>
      <w:pPr>
        <w:numPr>
          <w:ilvl w:val="0"/>
          <w:numId w:val="1014"/>
        </w:numPr>
        <w:pStyle w:val="Compact"/>
      </w:pPr>
      <w:r>
        <w:rPr>
          <w:bCs/>
          <w:b/>
        </w:rPr>
        <w:t xml:space="preserve">Increase Renewable Energy Procurement:</w:t>
      </w:r>
      <w:r>
        <w:t xml:space="preserve"> </w:t>
      </w:r>
      <w:r>
        <w:t xml:space="preserve">Expand the use of renewable energy in manufacturing facilities beyond the current 30% through direct purchasing, on-site generation, or renewable energy certificates.</w:t>
      </w:r>
    </w:p>
    <w:p>
      <w:pPr>
        <w:numPr>
          <w:ilvl w:val="0"/>
          <w:numId w:val="1014"/>
        </w:numPr>
        <w:pStyle w:val="Compact"/>
      </w:pPr>
      <w:r>
        <w:rPr>
          <w:bCs/>
          <w:b/>
        </w:rPr>
        <w:t xml:space="preserve">Sustainable Material Sourcing:</w:t>
      </w:r>
      <w:r>
        <w:t xml:space="preserve"> </w:t>
      </w:r>
      <w:r>
        <w:t xml:space="preserve">Explore alternative materials with lower embodied carbon, increase the recycled content of components, and work with suppliers to reduce their upstream emissions.</w:t>
      </w:r>
    </w:p>
    <w:p>
      <w:pPr>
        <w:numPr>
          <w:ilvl w:val="0"/>
          <w:numId w:val="1014"/>
        </w:numPr>
        <w:pStyle w:val="Compact"/>
      </w:pPr>
      <w:r>
        <w:rPr>
          <w:bCs/>
          <w:b/>
        </w:rPr>
        <w:t xml:space="preserve">Optimize Logistics:</w:t>
      </w:r>
      <w:r>
        <w:t xml:space="preserve"> </w:t>
      </w:r>
      <w:r>
        <w:t xml:space="preserve">Continuously review and optimize transport modes, routes, and loading efficiencies for both inbound and outbound logistics.</w:t>
      </w:r>
    </w:p>
    <w:p>
      <w:pPr>
        <w:numPr>
          <w:ilvl w:val="0"/>
          <w:numId w:val="1014"/>
        </w:numPr>
        <w:pStyle w:val="Compact"/>
      </w:pPr>
      <w:r>
        <w:rPr>
          <w:bCs/>
          <w:b/>
        </w:rPr>
        <w:t xml:space="preserve">Strengthen Circular Economy Initiatives:</w:t>
      </w:r>
      <w:r>
        <w:t xml:space="preserve"> </w:t>
      </w:r>
      <w:r>
        <w:t xml:space="preserve">Further develop and promote take-back and recycling programs, ensuring higher collection rates and efficient reprocessing to maximize carbon credits from circularity.</w:t>
      </w:r>
    </w:p>
    <w:p>
      <w:r>
        <w:pict>
          <v:rect style="width:0;height:1.5pt" o:hralign="center" o:hrstd="t" o:hr="t"/>
        </w:pic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ulmulwoolu</dc:title>
  <dc:creator/>
  <dc:description>Detailed Product Carbon Footprint (PCF) analysis report for ulmulwoolu by Senior Sustainability Consultant zuihwupkkq, adhering to GHG Protocol and 2026 LSR Update.</dc:description>
  <dc:language>en</dc:language>
  <cp:keywords/>
  <dcterms:created xsi:type="dcterms:W3CDTF">2026-05-30T18:14:19Z</dcterms:created>
  <dcterms:modified xsi:type="dcterms:W3CDTF">2026-05-30T18:14:19Z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