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ulkypqrxvn</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ulkypqrxvn (Smart Home Hub)</w:t>
      </w:r>
    </w:p>
    <w:p>
      <w:pPr>
        <w:pStyle w:val="BodyText"/>
      </w:pPr>
      <w:r>
        <w:rPr>
          <w:bCs/>
          <w:b/>
        </w:rPr>
        <w:t xml:space="preserve">Company:</w:t>
      </w:r>
      <w:r>
        <w:t xml:space="preserve"> </w:t>
      </w:r>
      <w:r>
        <w:t xml:space="preserve">rhunmxhfvp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pyzjjgppxv</w:t>
      </w:r>
    </w:p>
    <w:p>
      <w:pPr>
        <w:pStyle w:val="BodyText"/>
      </w:pPr>
      <w:r>
        <w:t xml:space="preserve">Generated Date: May 20, 2026</w:t>
      </w:r>
    </w:p>
    <w:p>
      <w:pPr>
        <w:pStyle w:val="BodyText"/>
      </w:pPr>
      <w:r>
        <w:t xml:space="preserve">Disclaimer: This report is generated based on available data and industry standards, utilizing illustrative values for certain parameters where specific data was provided as placeholders. The calculations provide a high-level estimate and should be refined with specific primary data where available for ultimate precision.</w:t>
      </w:r>
    </w:p>
    <w:bookmarkEnd w:id="20"/>
    <w:bookmarkStart w:id="54" w:name="Xb082d94e8382fc2c38dd7b5a40fa4710204f332"/>
    <w:p>
      <w:pPr>
        <w:pStyle w:val="Heading1"/>
      </w:pPr>
      <w:r>
        <w:t xml:space="preserve">Product Carbon Footprint Analysis: ulkypqrxvn (Smart Home Hub)</w:t>
      </w:r>
    </w:p>
    <w:p>
      <w:pPr>
        <w:pStyle w:val="FirstParagraph"/>
      </w:pPr>
      <w:r>
        <w:rPr>
          <w:bCs/>
          <w:b/>
        </w:rPr>
        <w:t xml:space="preserve">Prepared for:</w:t>
      </w:r>
      <w:r>
        <w:t xml:space="preserve"> </w:t>
      </w:r>
      <w:r>
        <w:t xml:space="preserve">rhunmxhfvp</w:t>
      </w:r>
    </w:p>
    <w:p>
      <w:pPr>
        <w:pStyle w:val="BodyText"/>
      </w:pPr>
      <w:r>
        <w:rPr>
          <w:bCs/>
          <w:b/>
        </w:rPr>
        <w:t xml:space="preserve">Prepared by:</w:t>
      </w:r>
      <w:r>
        <w:t xml:space="preserve"> </w:t>
      </w:r>
      <w:r>
        <w:t xml:space="preserve">pyzjjgppxv, Senior Sustainability Consultant</w:t>
      </w:r>
    </w:p>
    <w:p>
      <w:pPr>
        <w:pStyle w:val="BodyText"/>
      </w:pPr>
      <w:r>
        <w:rPr>
          <w:bCs/>
          <w:b/>
        </w:rPr>
        <w:t xml:space="preserve">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high-detail Product Carbon Footprint (PCF) analysis quantifies the greenhouse gas (GHG) emissions associated with the lifecycle of the product ulkypqrxvn, identified as a "Smart Home Hub," for the company rhunmxhfvp. The analysis adheres to the Greenhouse Gas Protocol (GHG Protocol) standards, categorizing emissions into Scope 1 (direct), Scope 2 (purchased energy), and Scope 3 (value chain). While the primary system boundary for this PCF is "factory_gate," an extended lifecycle assessment including the Use Phase and End-of-Life scenarios has been performed to provide a comprehensive understanding of the product\'s environmental impact from a cradle-to-grave perspective, in line with 2026 reporting requirements for Scope 3 coverage. Key emission hotspots are identified, and recommendations for emission reduction are provided.</w:t>
      </w:r>
    </w:p>
    <w:p>
      <w:r>
        <w:pict>
          <v:rect style="width:0;height:1.5pt" o:hralign="center" o:hrstd="t" o:hr="t"/>
        </w:pict>
      </w:r>
    </w:p>
    <w:bookmarkEnd w:id="21"/>
    <w:bookmarkStart w:id="27" w:name="define-scope"/>
    <w:p>
      <w:pPr>
        <w:pStyle w:val="Heading2"/>
      </w:pPr>
      <w:r>
        <w:t xml:space="preserve">1. Define Scope</w:t>
      </w:r>
    </w:p>
    <w:p>
      <w:pPr>
        <w:pStyle w:val="FirstParagraph"/>
      </w:pPr>
      <w:r>
        <w:t xml:space="preserve">The initial step in this Product Carbon Footprint (PCF) analysis involves clearly defining the scope, encompassing the functional unit, system boundaries, geographic scope, and allocation principles, in accordance with the GHG Protocol Product Standard.</w:t>
      </w:r>
    </w:p>
    <w:bookmarkStart w:id="22" w:name="functional-unit"/>
    <w:p>
      <w:pPr>
        <w:pStyle w:val="Heading3"/>
      </w:pPr>
      <w:r>
        <w:t xml:space="preserve">1.1 Functional Unit</w:t>
      </w:r>
    </w:p>
    <w:p>
      <w:pPr>
        <w:pStyle w:val="FirstParagraph"/>
      </w:pPr>
      <w:r>
        <w:t xml:space="preserve">The functional unit serves as the reference basis for quantifying and comparing the environmental impacts of the product. For this analysis, the functional unit is defined as:</w:t>
      </w:r>
    </w:p>
    <w:p>
      <w:pPr>
        <w:numPr>
          <w:ilvl w:val="0"/>
          <w:numId w:val="1001"/>
        </w:numPr>
        <w:pStyle w:val="Compact"/>
      </w:pPr>
      <w:r>
        <w:rPr>
          <w:bCs/>
          <w:b/>
        </w:rPr>
        <w:t xml:space="preserve">1.0 unit of ulkypqrxvn (Smart Home Hub)</w:t>
      </w:r>
      <w:r>
        <w:t xml:space="preserve">, providing its intended functionality over its estimated lifespan.</w:t>
      </w:r>
    </w:p>
    <w:bookmarkEnd w:id="22"/>
    <w:bookmarkStart w:id="23" w:name="system-boundary"/>
    <w:p>
      <w:pPr>
        <w:pStyle w:val="Heading3"/>
      </w:pPr>
      <w:r>
        <w:t xml:space="preserve">1.2 System Boundary</w:t>
      </w:r>
    </w:p>
    <w:p>
      <w:pPr>
        <w:pStyle w:val="FirstParagraph"/>
      </w:pPr>
      <w:r>
        <w:t xml:space="preserve">The system boundary defines which processes and stages of the product\'s lifecycle are included in the assessment. While a full cradle-to-grave analysis is often preferred for comprehensive PCF, the specified system boundary for the core PCF calculation is "factory_gate." This boundary encompasses all processes from raw material acquisition ("cradle") through manufacturing up to the point where the finished product leaves the rhunmxhfvp factory ("gate").</w:t>
      </w:r>
    </w:p>
    <w:p>
      <w:pPr>
        <w:pStyle w:val="BodyText"/>
      </w:pPr>
      <w:r>
        <w:t xml:space="preserve">However, to provide a holistic view and meet the requirement for high-detail analysis including Use Phase and End-of-Life, an "Extended Lifecycle PCF (Cradle-to-Grave)" section is included to quantify these downstream impacts.</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transportation to and likely use in Europe)</w:t>
      </w:r>
    </w:p>
    <w:bookmarkEnd w:id="24"/>
    <w:bookmarkStart w:id="25"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The GHG Protocol is a global standardized framework for measuring greenhouse gas emissions at corporate and product levels, developed by the World Resources Institute (WRI) and the World Business Council for Sustainable Development (WBCSD). Emissions are categorized into Scope 1, Scope 2, and Scope 3.</w:t>
      </w:r>
    </w:p>
    <w:bookmarkEnd w:id="25"/>
    <w:bookmarkStart w:id="26" w:name="allocation"/>
    <w:p>
      <w:pPr>
        <w:pStyle w:val="Heading3"/>
      </w:pPr>
      <w:r>
        <w:t xml:space="preserve">1.5 Allocation</w:t>
      </w:r>
    </w:p>
    <w:p>
      <w:pPr>
        <w:pStyle w:val="FirstParagraph"/>
      </w:pPr>
      <w:r>
        <w:t xml:space="preserve">Allocation refers to the process of partitioning the environmental burdens of a multi-functional process among the product system under study and other co-products. For this PCF, economic allocation is generally assumed for shared processes where direct physical allocation is not feasible. The \'cut-off\' approach is applied at the end-of-life stage for recycled materials, where the burden of recycling is assigned to the system that uses the recycled material.</w:t>
      </w:r>
    </w:p>
    <w:p>
      <w:r>
        <w:pict>
          <v:rect style="width:0;height:1.5pt" o:hralign="center" o:hrstd="t" o:hr="t"/>
        </w:pict>
      </w:r>
    </w:p>
    <w:bookmarkEnd w:id="26"/>
    <w:bookmarkEnd w:id="27"/>
    <w:bookmarkStart w:id="28" w:name="Xf6590ae06e9eff1c8ceb678e24ded0b628f7713"/>
    <w:p>
      <w:pPr>
        <w:pStyle w:val="Heading2"/>
      </w:pPr>
      <w:r>
        <w:t xml:space="preserve">2. Map Lifecycle (Life Cycle Inventory Stages)</w:t>
      </w:r>
    </w:p>
    <w:p>
      <w:pPr>
        <w:pStyle w:val="FirstParagraph"/>
      </w:pPr>
      <w:r>
        <w:t xml:space="preserve">The lifecycle of the ulkypqrxvn (Smart Home Hub) has been mapped into distinct stages to systematically collect data and calculate emissions. These stages cover the journey of the product from raw material extraction to its end-of-life.</w:t>
      </w:r>
    </w:p>
    <w:p>
      <w:pPr>
        <w:numPr>
          <w:ilvl w:val="0"/>
          <w:numId w:val="1003"/>
        </w:numPr>
        <w:pStyle w:val="Compact"/>
      </w:pPr>
      <w:r>
        <w:rPr>
          <w:bCs/>
          <w:b/>
        </w:rPr>
        <w:t xml:space="preserve">A. Raw Material Acquisition &amp; Pre-processing:</w:t>
      </w:r>
      <w:r>
        <w:t xml:space="preserve"> </w:t>
      </w:r>
      <w:r>
        <w:t xml:space="preserve">Extraction, cultivation, and initial processing of all materials used in the product and its packaging.</w:t>
      </w:r>
    </w:p>
    <w:p>
      <w:pPr>
        <w:numPr>
          <w:ilvl w:val="0"/>
          <w:numId w:val="1003"/>
        </w:numPr>
        <w:pStyle w:val="Compact"/>
      </w:pPr>
      <w:r>
        <w:rPr>
          <w:bCs/>
          <w:b/>
        </w:rPr>
        <w:t xml:space="preserve">B. Manufacturing (Production):</w:t>
      </w:r>
      <w:r>
        <w:t xml:space="preserve"> </w:t>
      </w:r>
      <w:r>
        <w:t xml:space="preserve">Energy and material inputs for the assembly and fabrication of the Smart Home Hub at the rhunmxhfvp facility in China.</w:t>
      </w:r>
    </w:p>
    <w:p>
      <w:pPr>
        <w:numPr>
          <w:ilvl w:val="0"/>
          <w:numId w:val="1003"/>
        </w:numPr>
        <w:pStyle w:val="Compact"/>
      </w:pPr>
      <w:r>
        <w:rPr>
          <w:bCs/>
          <w:b/>
        </w:rPr>
        <w:t xml:space="preserve">C. Upstream Transportation &amp; Distribution:</w:t>
      </w:r>
      <w:r>
        <w:t xml:space="preserve"> </w:t>
      </w:r>
      <w:r>
        <w:t xml:space="preserve">Transport of raw materials and components to the manufacturing facility and initial distribution of the finished product from the factory gate to major distribution hubs in Europe.</w:t>
      </w:r>
    </w:p>
    <w:p>
      <w:pPr>
        <w:numPr>
          <w:ilvl w:val="0"/>
          <w:numId w:val="1003"/>
        </w:numPr>
        <w:pStyle w:val="Compact"/>
      </w:pPr>
      <w:r>
        <w:rPr>
          <w:bCs/>
          <w:b/>
        </w:rPr>
        <w:t xml:space="preserve">D. Use Phase:</w:t>
      </w:r>
      <w:r>
        <w:t xml:space="preserve"> </w:t>
      </w:r>
      <w:r>
        <w:t xml:space="preserve">Energy consumption during the typical operational life of the Smart Home Hub by the end-user (Extended Lifecycle Consideration).</w:t>
      </w:r>
    </w:p>
    <w:p>
      <w:pPr>
        <w:numPr>
          <w:ilvl w:val="0"/>
          <w:numId w:val="1003"/>
        </w:numPr>
        <w:pStyle w:val="Compact"/>
      </w:pPr>
      <w:r>
        <w:rPr>
          <w:bCs/>
          <w:b/>
        </w:rPr>
        <w:t xml:space="preserve">E. End-of-Life (EoL):</w:t>
      </w:r>
      <w:r>
        <w:t xml:space="preserve"> </w:t>
      </w:r>
      <w:r>
        <w:t xml:space="preserve">Disposal, recycling, and treatment processes for the product and its packaging at the end of its functional lifespan (Extended Lifecycle Consideration).</w:t>
      </w:r>
    </w:p>
    <w:p>
      <w:r>
        <w:pict>
          <v:rect style="width:0;height:1.5pt" o:hralign="center" o:hrstd="t" o:hr="t"/>
        </w:pict>
      </w:r>
    </w:p>
    <w:bookmarkEnd w:id="28"/>
    <w:bookmarkStart w:id="34" w:name="Xb57f50a89bf1f3f1837369be949d9d60d6c1272"/>
    <w:p>
      <w:pPr>
        <w:pStyle w:val="Heading2"/>
      </w:pPr>
      <w:r>
        <w:t xml:space="preserve">3. Collect Data (Primary/Secondary Data Points)</w:t>
      </w:r>
    </w:p>
    <w:p>
      <w:pPr>
        <w:pStyle w:val="FirstParagraph"/>
      </w:pPr>
      <w:r>
        <w:t xml:space="preserve">Data collection for this PCF utilized a combination of specific parameters provided by rhunmxhfvp and industry-average secondary data (emission factors from Ecoinvent/DEFRA equivalents) where primary data was not explicitly supplied, using illustrative values for placeholders.</w:t>
      </w:r>
    </w:p>
    <w:bookmarkStart w:id="29" w:name="X5f2625cae2b0134ade869afff75153bddf0acc2"/>
    <w:p>
      <w:pPr>
        <w:pStyle w:val="Heading3"/>
      </w:pPr>
      <w:r>
        <w:t xml:space="preserve">3.1 Detailed Bill of Materials (BOM) for ulkypqrxvn</w:t>
      </w:r>
    </w:p>
    <w:p>
      <w:pPr>
        <w:pStyle w:val="FirstParagraph"/>
      </w:pPr>
      <w:r>
        <w:t xml:space="preserve">The following Bill of Materials (BOM) data (`smxpxmyf`)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Sheet Rolling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8.5</w:t>
            </w:r>
          </w:p>
        </w:tc>
        <w:tc>
          <w:tcPr/>
          <w:p>
            <w:pPr>
              <w:pStyle w:val="Compact"/>
              <w:jc w:val="left"/>
            </w:pPr>
            <w:r>
              <w:t xml:space="preserve">2.55</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C001</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left"/>
            </w:pPr>
            <w:r>
              <w:t xml:space="preserve">Total Raw Material Emissions (illustrative)</w:t>
            </w:r>
          </w:p>
        </w:tc>
        <w:tc>
          <w:tcPr/>
          <w:p>
            <w:pPr>
              <w:pStyle w:val="Compact"/>
              <w:jc w:val="left"/>
            </w:pPr>
            <w:r>
              <w:rPr>
                <w:bCs/>
                <w:b/>
              </w:rPr>
              <w:t xml:space="preserve">3.675</w:t>
            </w:r>
          </w:p>
        </w:tc>
      </w:tr>
    </w:tbl>
    <w:bookmarkEnd w:id="29"/>
    <w:bookmarkStart w:id="30" w:name="energy-inputs-production-phase"/>
    <w:p>
      <w:pPr>
        <w:pStyle w:val="Heading3"/>
      </w:pPr>
      <w:r>
        <w:t xml:space="preserve">3.2 Energy Inputs (Production Phase)</w:t>
      </w:r>
    </w:p>
    <w:p>
      <w:pPr>
        <w:pStyle w:val="FirstParagraph"/>
      </w:pPr>
      <w:r>
        <w:t xml:space="preserve">The following energy customization data was used for the production phase footprint:</w:t>
      </w:r>
    </w:p>
    <w:p>
      <w:pPr>
        <w:numPr>
          <w:ilvl w:val="0"/>
          <w:numId w:val="1004"/>
        </w:numPr>
        <w:pStyle w:val="Compact"/>
      </w:pPr>
      <w:r>
        <w:rPr>
          <w:bCs/>
          <w:b/>
        </w:rPr>
        <w:t xml:space="preserve">Renewable Energy Usage (`rihsregqsi`):</w:t>
      </w:r>
      <w:r>
        <w:t xml:space="preserve"> </w:t>
      </w:r>
      <w:r>
        <w:t xml:space="preserve">70%</w:t>
      </w:r>
    </w:p>
    <w:p>
      <w:pPr>
        <w:numPr>
          <w:ilvl w:val="0"/>
          <w:numId w:val="1004"/>
        </w:numPr>
        <w:pStyle w:val="Compact"/>
      </w:pPr>
      <w:r>
        <w:rPr>
          <w:bCs/>
          <w:b/>
        </w:rPr>
        <w:t xml:space="preserve">Energy Intensity (`rfutqlzqyx`):</w:t>
      </w:r>
      <w:r>
        <w:t xml:space="preserve"> </w:t>
      </w:r>
      <w:r>
        <w:t xml:space="preserve">15 kWh/unit</w:t>
      </w:r>
    </w:p>
    <w:p>
      <w:pPr>
        <w:numPr>
          <w:ilvl w:val="0"/>
          <w:numId w:val="1004"/>
        </w:numPr>
        <w:pStyle w:val="Compact"/>
      </w:pPr>
      <w:r>
        <w:rPr>
          <w:bCs/>
          <w:b/>
        </w:rPr>
        <w:t xml:space="preserve">Non-renewable Electricity Mix (China):</w:t>
      </w:r>
      <w:r>
        <w:t xml:space="preserve"> </w:t>
      </w:r>
      <w:r>
        <w:t xml:space="preserve">An illustrative factor of 0.6 kgCO2e/kWh is used, based on typical ranges for China\'s national average grid mix (approx. 0.5154 - 0.6835 tCO2e/MWh or 0.556 kgCO2e/kWh, depending on year and source).</w:t>
      </w:r>
    </w:p>
    <w:bookmarkEnd w:id="30"/>
    <w:bookmarkStart w:id="31" w:name="logistics-data-upstream-and-downstream"/>
    <w:p>
      <w:pPr>
        <w:pStyle w:val="Heading3"/>
      </w:pPr>
      <w:r>
        <w:t xml:space="preserve">3.3 Logistics Data (Upstream and Downstream)</w:t>
      </w:r>
    </w:p>
    <w:p>
      <w:pPr>
        <w:pStyle w:val="FirstParagraph"/>
      </w:pPr>
      <w:r>
        <w:t xml:space="preserve">Specific logistics data was incorporated into the supply chain analysis:</w:t>
      </w:r>
    </w:p>
    <w:p>
      <w:pPr>
        <w:numPr>
          <w:ilvl w:val="0"/>
          <w:numId w:val="1005"/>
        </w:numPr>
        <w:pStyle w:val="Compact"/>
      </w:pPr>
      <w:r>
        <w:rPr>
          <w:bCs/>
          <w:b/>
        </w:rPr>
        <w:t xml:space="preserve">Transport Mode (`Select Mode`):</w:t>
      </w:r>
      <w:r>
        <w:t xml:space="preserve"> </w:t>
      </w:r>
      <w:r>
        <w:t xml:space="preserve">Ocean Freight (China to Europe) + Road Transport (Europe distribution).</w:t>
      </w:r>
    </w:p>
    <w:p>
      <w:pPr>
        <w:numPr>
          <w:ilvl w:val="0"/>
          <w:numId w:val="1005"/>
        </w:numPr>
        <w:pStyle w:val="Compact"/>
      </w:pPr>
      <w:r>
        <w:rPr>
          <w:bCs/>
          <w:b/>
        </w:rPr>
        <w:t xml:space="preserve">Transport Distance (`uhluzdzmfi`):</w:t>
      </w:r>
      <w:r>
        <w:t xml:space="preserve"> </w:t>
      </w:r>
      <w:r>
        <w:t xml:space="preserve">15,000 km (Ocean) + 500 km (Road).</w:t>
      </w:r>
    </w:p>
    <w:p>
      <w:pPr>
        <w:numPr>
          <w:ilvl w:val="0"/>
          <w:numId w:val="1005"/>
        </w:numPr>
        <w:pStyle w:val="Compact"/>
      </w:pPr>
      <w:r>
        <w:rPr>
          <w:bCs/>
          <w:b/>
        </w:rPr>
        <w:t xml:space="preserve">Last-Mile Delivery Channel (`Delivery Type`):</w:t>
      </w:r>
      <w:r>
        <w:t xml:space="preserve"> </w:t>
      </w:r>
      <w:r>
        <w:t xml:space="preserve">Electric Van (for final delivery in Europe).</w:t>
      </w:r>
    </w:p>
    <w:p>
      <w:pPr>
        <w:pStyle w:val="FirstParagraph"/>
      </w:pPr>
      <w:r>
        <w:t xml:space="preserve">Illustrative emission factors for transportation:</w:t>
      </w:r>
    </w:p>
    <w:p>
      <w:pPr>
        <w:numPr>
          <w:ilvl w:val="0"/>
          <w:numId w:val="1006"/>
        </w:numPr>
        <w:pStyle w:val="Compact"/>
      </w:pPr>
      <w:r>
        <w:rPr>
          <w:bCs/>
          <w:b/>
        </w:rPr>
        <w:t xml:space="preserve">Ocean Freight (average container ship):</w:t>
      </w:r>
      <w:r>
        <w:t xml:space="preserve"> </w:t>
      </w:r>
      <w:r>
        <w:t xml:space="preserve">0.01 kgCO2e/tonne-km.</w:t>
      </w:r>
    </w:p>
    <w:p>
      <w:pPr>
        <w:numPr>
          <w:ilvl w:val="0"/>
          <w:numId w:val="1006"/>
        </w:numPr>
        <w:pStyle w:val="Compact"/>
      </w:pPr>
      <w:r>
        <w:rPr>
          <w:bCs/>
          <w:b/>
        </w:rPr>
        <w:t xml:space="preserve">Road Transport (Heavy Duty Truck, average payload):</w:t>
      </w:r>
      <w:r>
        <w:t xml:space="preserve"> </w:t>
      </w:r>
      <w:r>
        <w:t xml:space="preserve">0.1 kgCO2e/tonne-km.</w:t>
      </w:r>
    </w:p>
    <w:p>
      <w:pPr>
        <w:numPr>
          <w:ilvl w:val="0"/>
          <w:numId w:val="1006"/>
        </w:numPr>
        <w:pStyle w:val="Compact"/>
      </w:pPr>
      <w:r>
        <w:rPr>
          <w:bCs/>
          <w:b/>
        </w:rPr>
        <w:t xml:space="preserve">Electric Van (Last-Mile):</w:t>
      </w:r>
      <w:r>
        <w:t xml:space="preserve"> </w:t>
      </w:r>
      <w:r>
        <w:t xml:space="preserve">0.05 kgCO2e/km (assuming ~0.6 kg product weight per unit, leading to an illustrative 0.1 kgCO2e/unit for a typical last-mile distance for individual units).</w:t>
      </w:r>
    </w:p>
    <w:bookmarkEnd w:id="31"/>
    <w:bookmarkStart w:id="32" w:name="Xbef52709d3df14cccb8a131bb49c7eb49d67cf0"/>
    <w:p>
      <w:pPr>
        <w:pStyle w:val="Heading3"/>
      </w:pPr>
      <w:r>
        <w:t xml:space="preserve">3.4 Use Phase Data (Extended Lifecycle Consideration)</w:t>
      </w:r>
    </w:p>
    <w:p>
      <w:pPr>
        <w:pStyle w:val="FirstParagraph"/>
      </w:pPr>
      <w:r>
        <w:t xml:space="preserve">The \'Use Phase\' calculation was expanded using specific durability and consumption data:</w:t>
      </w:r>
    </w:p>
    <w:p>
      <w:pPr>
        <w:numPr>
          <w:ilvl w:val="0"/>
          <w:numId w:val="1007"/>
        </w:numPr>
        <w:pStyle w:val="Compact"/>
      </w:pPr>
      <w:r>
        <w:rPr>
          <w:bCs/>
          <w:b/>
        </w:rPr>
        <w:t xml:space="preserve">Product Lifespan (`uzdmvltvkg`):</w:t>
      </w:r>
      <w:r>
        <w:t xml:space="preserve"> </w:t>
      </w:r>
      <w:r>
        <w:t xml:space="preserve">5 years.</w:t>
      </w:r>
    </w:p>
    <w:p>
      <w:pPr>
        <w:numPr>
          <w:ilvl w:val="0"/>
          <w:numId w:val="1007"/>
        </w:numPr>
        <w:pStyle w:val="Compact"/>
      </w:pPr>
      <w:r>
        <w:rPr>
          <w:bCs/>
          <w:b/>
        </w:rPr>
        <w:t xml:space="preserve">Energy Consumption in Use (`mwhdhrtesy`):</w:t>
      </w:r>
      <w:r>
        <w:t xml:space="preserve"> </w:t>
      </w:r>
      <w:r>
        <w:t xml:space="preserve">10 kWh/year.</w:t>
      </w:r>
    </w:p>
    <w:p>
      <w:pPr>
        <w:numPr>
          <w:ilvl w:val="0"/>
          <w:numId w:val="1007"/>
        </w:numPr>
        <w:pStyle w:val="Compact"/>
      </w:pPr>
      <w:r>
        <w:rPr>
          <w:bCs/>
          <w:b/>
        </w:rPr>
        <w:t xml:space="preserve">Electricity Grid Mix (Europe average for use phase):</w:t>
      </w:r>
      <w:r>
        <w:t xml:space="preserve"> </w:t>
      </w:r>
      <w:r>
        <w:t xml:space="preserve">An illustrative factor of 0.25 kgCO2e/kWh is used.</w:t>
      </w:r>
    </w:p>
    <w:bookmarkEnd w:id="32"/>
    <w:bookmarkStart w:id="33" w:name="X69c67485974c9d3a150bed3bd035cffce224b2d"/>
    <w:p>
      <w:pPr>
        <w:pStyle w:val="Heading3"/>
      </w:pPr>
      <w:r>
        <w:t xml:space="preserve">3.5 End-of-Life (EoL) Scenarios (Extended Lifecycle Consideration)</w:t>
      </w:r>
    </w:p>
    <w:p>
      <w:pPr>
        <w:pStyle w:val="FirstParagraph"/>
      </w:pPr>
      <w:r>
        <w:t xml:space="preserve">End-of-Life (EoL) scenarios were incorporated to reflect circular economy impacts:</w:t>
      </w:r>
    </w:p>
    <w:p>
      <w:pPr>
        <w:numPr>
          <w:ilvl w:val="0"/>
          <w:numId w:val="1008"/>
        </w:numPr>
        <w:pStyle w:val="Compact"/>
      </w:pPr>
      <w:r>
        <w:rPr>
          <w:bCs/>
          <w:b/>
        </w:rPr>
        <w:t xml:space="preserve">Recyclability Percentage (`zmijwwfhgq`):</w:t>
      </w:r>
      <w:r>
        <w:t xml:space="preserve"> </w:t>
      </w:r>
      <w:r>
        <w:t xml:space="preserve">80% (of product materials).</w:t>
      </w:r>
    </w:p>
    <w:p>
      <w:pPr>
        <w:numPr>
          <w:ilvl w:val="0"/>
          <w:numId w:val="1008"/>
        </w:numPr>
        <w:pStyle w:val="Compact"/>
      </w:pPr>
      <w:r>
        <w:rPr>
          <w:bCs/>
          <w:b/>
        </w:rPr>
        <w:t xml:space="preserve">Circular/Take-back Programs (`vkolqitjtw`):</w:t>
      </w:r>
      <w:r>
        <w:t xml:space="preserve"> </w:t>
      </w:r>
      <w:r>
        <w:t xml:space="preserve">Company-run consumer take-back program for electronics in key European markets, aimed at maximizing material recovery.</w:t>
      </w:r>
    </w:p>
    <w:p>
      <w:pPr>
        <w:pStyle w:val="FirstParagraph"/>
      </w:pPr>
      <w:r>
        <w:t xml:space="preserve">Illustrative EoL emission factors/credits:</w:t>
      </w:r>
    </w:p>
    <w:p>
      <w:pPr>
        <w:numPr>
          <w:ilvl w:val="0"/>
          <w:numId w:val="1009"/>
        </w:numPr>
        <w:pStyle w:val="Compact"/>
      </w:pPr>
      <w:r>
        <w:rPr>
          <w:bCs/>
          <w:b/>
        </w:rPr>
        <w:t xml:space="preserve">Recycling Credit (mixed materials):</w:t>
      </w:r>
      <w:r>
        <w:t xml:space="preserve"> </w:t>
      </w:r>
      <w:r>
        <w:t xml:space="preserve">-0.3 kgCO2e/kg (for product components, representing avoided virgin material production).</w:t>
      </w:r>
    </w:p>
    <w:p>
      <w:pPr>
        <w:numPr>
          <w:ilvl w:val="0"/>
          <w:numId w:val="1009"/>
        </w:numPr>
        <w:pStyle w:val="Compact"/>
      </w:pPr>
      <w:r>
        <w:rPr>
          <w:bCs/>
          <w:b/>
        </w:rPr>
        <w:t xml:space="preserve">Landfill Factor (electronic components):</w:t>
      </w:r>
      <w:r>
        <w:t xml:space="preserve"> </w:t>
      </w:r>
      <w:r>
        <w:t xml:space="preserve">1.5 kgCO2e/kg.</w:t>
      </w:r>
    </w:p>
    <w:p>
      <w:pPr>
        <w:numPr>
          <w:ilvl w:val="0"/>
          <w:numId w:val="1009"/>
        </w:numPr>
        <w:pStyle w:val="Compact"/>
      </w:pPr>
      <w:r>
        <w:rPr>
          <w:bCs/>
          <w:b/>
        </w:rPr>
        <w:t xml:space="preserve">Recycling Credit (cardboard packaging):</w:t>
      </w:r>
      <w:r>
        <w:t xml:space="preserve"> </w:t>
      </w:r>
      <w:r>
        <w:t xml:space="preserve">-0.1 kgCO2e/kg.</w:t>
      </w:r>
    </w:p>
    <w:p>
      <w:pPr>
        <w:numPr>
          <w:ilvl w:val="0"/>
          <w:numId w:val="1009"/>
        </w:numPr>
        <w:pStyle w:val="Compact"/>
      </w:pPr>
      <w:r>
        <w:rPr>
          <w:bCs/>
          <w:b/>
        </w:rPr>
        <w:t xml:space="preserve">Landfill Factor (cardboard packaging):</w:t>
      </w:r>
      <w:r>
        <w:t xml:space="preserve"> </w:t>
      </w:r>
      <w:r>
        <w:t xml:space="preserve">0.5 kgCO2e/kg.</w:t>
      </w:r>
    </w:p>
    <w:p>
      <w:r>
        <w:pict>
          <v:rect style="width:0;height:1.5pt" o:hralign="center" o:hrstd="t" o:hr="t"/>
        </w:pict>
      </w:r>
    </w:p>
    <w:bookmarkEnd w:id="33"/>
    <w:bookmarkEnd w:id="34"/>
    <w:bookmarkStart w:id="49"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product\'s lifecycle and categorized according to the GHG Protocol\'s Scope 1, 2, and 3 framework. All results are expressed in kilograms of carbon dioxide equivalent (kgCO2e).</w:t>
      </w:r>
    </w:p>
    <w:bookmarkStart w:id="35" w:name="ghg-protocol-categorization"/>
    <w:p>
      <w:pPr>
        <w:pStyle w:val="Heading3"/>
      </w:pPr>
      <w:r>
        <w:t xml:space="preserve">4.1 GHG Protocol Categorization</w:t>
      </w:r>
    </w:p>
    <w:p>
      <w:pPr>
        <w:numPr>
          <w:ilvl w:val="0"/>
          <w:numId w:val="1010"/>
        </w:numPr>
        <w:pStyle w:val="Compact"/>
      </w:pPr>
      <w:r>
        <w:rPr>
          <w:bCs/>
          <w:b/>
        </w:rPr>
        <w:t xml:space="preserve">Scope 1 (Direct Emissions):</w:t>
      </w:r>
      <w:r>
        <w:t xml:space="preserve"> </w:t>
      </w:r>
      <w:r>
        <w:t xml:space="preserve">GHG emissions from sources owned or controlled by rhunmxhfvp. For this PCF, assuming no on-site fuel combustion directly attributable to the production of a single unit, Scope 1 emissions are considered negligible or zero.</w:t>
      </w:r>
    </w:p>
    <w:p>
      <w:pPr>
        <w:numPr>
          <w:ilvl w:val="0"/>
          <w:numId w:val="1010"/>
        </w:numPr>
        <w:pStyle w:val="Compact"/>
      </w:pPr>
      <w:r>
        <w:rPr>
          <w:bCs/>
          <w:b/>
        </w:rPr>
        <w:t xml:space="preserve">Scope 2 (Indirect Emissions from Purchased Energy):</w:t>
      </w:r>
      <w:r>
        <w:t xml:space="preserve"> </w:t>
      </w:r>
      <w:r>
        <w:t xml:space="preserve">GHG emissions from the generation of purchased electricity, heat, or steam consumed by rhunmxhfvp\'s manufacturing operations.</w:t>
      </w:r>
    </w:p>
    <w:p>
      <w:pPr>
        <w:numPr>
          <w:ilvl w:val="0"/>
          <w:numId w:val="1010"/>
        </w:numPr>
        <w:pStyle w:val="Compact"/>
      </w:pPr>
      <w:r>
        <w:rPr>
          <w:bCs/>
          <w:b/>
        </w:rPr>
        <w:t xml:space="preserve">Scope 3 (Other Indirect Emissions / Value Chain):</w:t>
      </w:r>
      <w:r>
        <w:t xml:space="preserve"> </w:t>
      </w:r>
      <w:r>
        <w:t xml:space="preserve">All other indirect GHG emissions that occur in the value chain of rhunmxhfvp, both upstream and downstream. This includes emissions from purchased goods and services (raw materials), upstream and downstream transportation and distribution, use of sold products, and end-of-life treatment of sold products. The GHG Protocol defines 15 categories for Scope 3 emissions.</w:t>
      </w:r>
    </w:p>
    <w:bookmarkEnd w:id="35"/>
    <w:bookmarkStart w:id="36" w:name="X504f4a86e01fdcfa46a4589bb1b5e0cfaad8629"/>
    <w:p>
      <w:pPr>
        <w:pStyle w:val="Heading3"/>
      </w:pPr>
      <w:r>
        <w:t xml:space="preserve">4.2 2026 Land Sector and Removals (LSR) Standard Update</w:t>
      </w:r>
    </w:p>
    <w:p>
      <w:pPr>
        <w:pStyle w:val="FirstParagraph"/>
      </w:pPr>
      <w:r>
        <w:t xml:space="preserve">The GHG Protocol\'s Land Sector and Removals (LSR) Standard was released on January 30, 2026, and takes effect on January 1, 2027. This standard provides accounting requirements and guidance for land emissions, CO2 removals, and biogenic products. The accompanying guidance document is expected in Q2 2026. For rhunmxhfvp, while the Smart Home Hub itself is not a land-intensive product, the LSR Standard would be critical if its raw materials (e.g., bio-based plastics, timber derivatives) or manufacturing processes involved significant land-use change or carbon removal activities in its supply chain. rhunmxhfvp should prepare for its full implementation in subsequent reporting cycles to accurately account for any land-related impacts or removals.</w:t>
      </w:r>
    </w:p>
    <w:bookmarkEnd w:id="36"/>
    <w:bookmarkStart w:id="37" w:name="scope-3-compliance"/>
    <w:p>
      <w:pPr>
        <w:pStyle w:val="Heading3"/>
      </w:pPr>
      <w:r>
        <w:t xml:space="preserve">4.3 Scope 3 Compliance</w:t>
      </w:r>
    </w:p>
    <w:p>
      <w:pPr>
        <w:pStyle w:val="FirstParagraph"/>
      </w:pPr>
      <w:r>
        <w:t xml:space="preserve">As per 2026 requirements, this analysis aims to ensure at least 95% coverage for Scope 3 reporting. The comprehensive inclusion of materials, transportation, use phase, and end-of-life stages in this report addresses this requirement by covering the major categories of value chain emissions.</w:t>
      </w:r>
    </w:p>
    <w:bookmarkEnd w:id="37"/>
    <w:bookmarkStart w:id="41" w:name="emissions-calculation-by-lifecycle-stage"/>
    <w:p>
      <w:pPr>
        <w:pStyle w:val="Heading3"/>
      </w:pPr>
      <w:r>
        <w:t xml:space="preserve">4.4 Emissions Calculation by Lifecycle Stage</w:t>
      </w:r>
    </w:p>
    <w:bookmarkStart w:id="38" w:name="X518d6d695b95fe73f2e95940800d8e2de6e9004"/>
    <w:p>
      <w:pPr>
        <w:pStyle w:val="Heading4"/>
      </w:pPr>
      <w:r>
        <w:t xml:space="preserve">A. Raw Material Acquisition &amp; Pre-processing (Scope 3, Category 1: Purchased Goods and Services)</w:t>
      </w:r>
    </w:p>
    <w:p>
      <w:pPr>
        <w:pStyle w:val="FirstParagraph"/>
      </w:pPr>
      <w:r>
        <w:t xml:space="preserve">Emissions from the extraction, production, and pre-processing of raw materials are derived directly from the BOM table using the provided quantities and illustrative emission factors.</w:t>
      </w:r>
    </w:p>
    <w:p>
      <w:pPr>
        <w:numPr>
          <w:ilvl w:val="0"/>
          <w:numId w:val="1011"/>
        </w:numPr>
        <w:pStyle w:val="Compact"/>
      </w:pPr>
      <w:r>
        <w:t xml:space="preserve">Aluminum Casing: 0.3 kg * 8.5 kgCO2e/kg = 2.55 kgCO2e</w:t>
      </w:r>
    </w:p>
    <w:p>
      <w:pPr>
        <w:numPr>
          <w:ilvl w:val="0"/>
          <w:numId w:val="1011"/>
        </w:numPr>
        <w:pStyle w:val="Compact"/>
      </w:pPr>
      <w:r>
        <w:t xml:space="preserve">ABS Plastic Enclosure: 0.15 kg * 3.5 kgCO2e/kg = 0.525 kgCO2e</w:t>
      </w:r>
    </w:p>
    <w:p>
      <w:pPr>
        <w:numPr>
          <w:ilvl w:val="0"/>
          <w:numId w:val="1011"/>
        </w:numPr>
        <w:pStyle w:val="Compact"/>
      </w:pPr>
      <w:r>
        <w:t xml:space="preserve">Printed Circuit Board (PCB): 0.05 unit * 10.0 kgCO2e/unit = 0.50 kgCO2e</w:t>
      </w:r>
    </w:p>
    <w:p>
      <w:pPr>
        <w:numPr>
          <w:ilvl w:val="0"/>
          <w:numId w:val="1011"/>
        </w:numPr>
        <w:pStyle w:val="Compact"/>
      </w:pPr>
      <w:r>
        <w:t xml:space="preserve">Cardboard Packaging: 0.1 kg * 1.0 kgCO2e/kg = 0.10 kgCO2e</w:t>
      </w:r>
    </w:p>
    <w:p>
      <w:pPr>
        <w:numPr>
          <w:ilvl w:val="0"/>
          <w:numId w:val="1011"/>
        </w:numPr>
        <w:pStyle w:val="Compact"/>
      </w:pPr>
      <w:r>
        <w:rPr>
          <w:bCs/>
          <w:b/>
        </w:rPr>
        <w:t xml:space="preserve">Total Raw Material Emissions: 3.675 kgCO2e/unit</w:t>
      </w:r>
    </w:p>
    <w:bookmarkEnd w:id="38"/>
    <w:bookmarkStart w:id="39" w:name="X337dd9c3196d01848153627a19daeab33165c91"/>
    <w:p>
      <w:pPr>
        <w:pStyle w:val="Heading4"/>
      </w:pPr>
      <w:r>
        <w:t xml:space="preserve">B. Manufacturing (Production) (Scope 2: Purchased Electricity)</w:t>
      </w:r>
    </w:p>
    <w:p>
      <w:pPr>
        <w:pStyle w:val="FirstParagraph"/>
      </w:pPr>
      <w:r>
        <w:t xml:space="preserve">Emissions from the manufacturing process in China are primarily from purchased electricity. Given 70% renewable energy usage, the remaining 30% is from the grid mix.</w:t>
      </w:r>
    </w:p>
    <w:p>
      <w:pPr>
        <w:numPr>
          <w:ilvl w:val="0"/>
          <w:numId w:val="1012"/>
        </w:numPr>
        <w:pStyle w:val="Compact"/>
      </w:pPr>
      <w:r>
        <w:t xml:space="preserve">Total energy intensity: 15 kWh/unit</w:t>
      </w:r>
    </w:p>
    <w:p>
      <w:pPr>
        <w:numPr>
          <w:ilvl w:val="0"/>
          <w:numId w:val="1012"/>
        </w:numPr>
        <w:pStyle w:val="Compact"/>
      </w:pPr>
      <w:r>
        <w:t xml:space="preserve">Renewable energy used: 15 kWh/unit * 70% = 10.5 kWh/unit (assumed 0 emissions)</w:t>
      </w:r>
    </w:p>
    <w:p>
      <w:pPr>
        <w:numPr>
          <w:ilvl w:val="0"/>
          <w:numId w:val="1012"/>
        </w:numPr>
        <w:pStyle w:val="Compact"/>
      </w:pPr>
      <w:r>
        <w:t xml:space="preserve">Non-renewable energy: 15 kWh/unit * 30% = 4.5 kWh/unit</w:t>
      </w:r>
    </w:p>
    <w:p>
      <w:pPr>
        <w:numPr>
          <w:ilvl w:val="0"/>
          <w:numId w:val="1012"/>
        </w:numPr>
        <w:pStyle w:val="Compact"/>
      </w:pPr>
      <w:r>
        <w:t xml:space="preserve">China grid electricity emission factor (illustrative): 0.6 kgCO2e/kWh</w:t>
      </w:r>
    </w:p>
    <w:p>
      <w:pPr>
        <w:numPr>
          <w:ilvl w:val="0"/>
          <w:numId w:val="1012"/>
        </w:numPr>
        <w:pStyle w:val="Compact"/>
      </w:pPr>
      <w:r>
        <w:rPr>
          <w:bCs/>
          <w:b/>
        </w:rPr>
        <w:t xml:space="preserve">Manufacturing Emissions (Scope 2):</w:t>
      </w:r>
      <w:r>
        <w:t xml:space="preserve"> </w:t>
      </w:r>
      <w:r>
        <w:t xml:space="preserve">4.5 kWh/unit * 0.6 kgCO2e/kWh =</w:t>
      </w:r>
      <w:r>
        <w:t xml:space="preserve"> </w:t>
      </w:r>
      <w:r>
        <w:rPr>
          <w:bCs/>
          <w:b/>
        </w:rPr>
        <w:t xml:space="preserve">2.70 kgCO2e/unit</w:t>
      </w:r>
    </w:p>
    <w:bookmarkEnd w:id="39"/>
    <w:bookmarkStart w:id="40" w:name="X6176d7a54b8189e7a56fdc3a9d8a57d31491d84"/>
    <w:p>
      <w:pPr>
        <w:pStyle w:val="Heading4"/>
      </w:pPr>
      <w:r>
        <w:t xml:space="preserve">C. Upstream Transportation &amp; Distribution (Scope 3, Category 4: Upstream Transportation and Distribution)</w:t>
      </w:r>
    </w:p>
    <w:p>
      <w:pPr>
        <w:pStyle w:val="FirstParagraph"/>
      </w:pPr>
      <w:r>
        <w:t xml:space="preserve">The total weight of the product and its packaging is approximately 0.3 + 0.15 + 0.05 + 0.1 = 0.6 kg/unit. This weight is used for transport calculations.</w:t>
      </w:r>
    </w:p>
    <w:p>
      <w:pPr>
        <w:numPr>
          <w:ilvl w:val="0"/>
          <w:numId w:val="1013"/>
        </w:numPr>
        <w:pStyle w:val="Compact"/>
      </w:pPr>
      <w:r>
        <w:rPr>
          <w:bCs/>
          <w:b/>
        </w:rPr>
        <w:t xml:space="preserve">Ocean Freight (China to Europe):</w:t>
      </w:r>
    </w:p>
    <w:p>
      <w:pPr>
        <w:numPr>
          <w:ilvl w:val="0"/>
          <w:numId w:val="1013"/>
        </w:numPr>
        <w:pStyle w:val="Compact"/>
      </w:pPr>
    </w:p>
    <w:p>
      <w:pPr>
        <w:numPr>
          <w:ilvl w:val="1"/>
          <w:numId w:val="1014"/>
        </w:numPr>
        <w:pStyle w:val="Compact"/>
      </w:pPr>
      <w:r>
        <w:t xml:space="preserve">Distance: 15,000 km</w:t>
      </w:r>
    </w:p>
    <w:p>
      <w:pPr>
        <w:numPr>
          <w:ilvl w:val="1"/>
          <w:numId w:val="1014"/>
        </w:numPr>
        <w:pStyle w:val="Compact"/>
      </w:pPr>
      <w:r>
        <w:t xml:space="preserve">Emission factor: 0.01 kgCO2e/tonne-km</w:t>
      </w:r>
    </w:p>
    <w:p>
      <w:pPr>
        <w:numPr>
          <w:ilvl w:val="1"/>
          <w:numId w:val="1014"/>
        </w:numPr>
        <w:pStyle w:val="Compact"/>
      </w:pPr>
      <w:r>
        <w:t xml:space="preserve">Emissions: (0.6 kg/unit / 1000 kg/tonne) * 15,000 km * 0.01 kgCO2e/tonne-km = 0.09 kgCO2e/unit</w:t>
      </w:r>
    </w:p>
    <w:p>
      <w:pPr>
        <w:numPr>
          <w:ilvl w:val="0"/>
          <w:numId w:val="1013"/>
        </w:numPr>
        <w:pStyle w:val="Compact"/>
      </w:pPr>
      <w:r>
        <w:rPr>
          <w:bCs/>
          <w:b/>
        </w:rPr>
        <w:t xml:space="preserve">Road Transport (Europe distribution):</w:t>
      </w:r>
    </w:p>
    <w:p>
      <w:pPr>
        <w:numPr>
          <w:ilvl w:val="0"/>
          <w:numId w:val="1013"/>
        </w:numPr>
        <w:pStyle w:val="Compact"/>
      </w:pPr>
    </w:p>
    <w:p>
      <w:pPr>
        <w:numPr>
          <w:ilvl w:val="1"/>
          <w:numId w:val="1015"/>
        </w:numPr>
        <w:pStyle w:val="Compact"/>
      </w:pPr>
      <w:r>
        <w:t xml:space="preserve">Distance: 500 km</w:t>
      </w:r>
    </w:p>
    <w:p>
      <w:pPr>
        <w:numPr>
          <w:ilvl w:val="1"/>
          <w:numId w:val="1015"/>
        </w:numPr>
        <w:pStyle w:val="Compact"/>
      </w:pPr>
      <w:r>
        <w:t xml:space="preserve">Emission factor: 0.1 kgCO2e/tonne-km</w:t>
      </w:r>
    </w:p>
    <w:p>
      <w:pPr>
        <w:numPr>
          <w:ilvl w:val="1"/>
          <w:numId w:val="1015"/>
        </w:numPr>
        <w:pStyle w:val="Compact"/>
      </w:pPr>
      <w:r>
        <w:t xml:space="preserve">Emissions: (0.6 kg/unit / 1000 kg/tonne) * 500 km * 0.1 kgCO2e/tonne-km = 0.03 kgCO2e/unit</w:t>
      </w:r>
    </w:p>
    <w:p>
      <w:pPr>
        <w:numPr>
          <w:ilvl w:val="0"/>
          <w:numId w:val="1013"/>
        </w:numPr>
        <w:pStyle w:val="Compact"/>
      </w:pPr>
      <w:r>
        <w:rPr>
          <w:bCs/>
          <w:b/>
        </w:rPr>
        <w:t xml:space="preserve">Total Upstream Transportation Emissions: 0.09 + 0.03 = 0.12 kgCO2e/unit</w:t>
      </w:r>
    </w:p>
    <w:bookmarkEnd w:id="40"/>
    <w:bookmarkEnd w:id="41"/>
    <w:bookmarkStart w:id="42" w:name="Xcb7d95773c54919f607291945e346e26ad6a94f"/>
    <w:p>
      <w:pPr>
        <w:pStyle w:val="Heading3"/>
      </w:pPr>
      <w:r>
        <w:t xml:space="preserve">Total PCF (Cradle-to-Gate - "factory_gate" system boundary)</w:t>
      </w:r>
    </w:p>
    <w:p>
      <w:pPr>
        <w:pStyle w:val="FirstParagraph"/>
      </w:pPr>
      <w:r>
        <w:t xml:space="preserve">Based on the defined "factory_gate" system boundary, the calculated Product Carbon Footprint for one unit of ulkypqrxvn (Smart Home Hub) is:</w:t>
      </w:r>
    </w:p>
    <w:p>
      <w:pPr>
        <w:pStyle w:val="BodyText"/>
      </w:pPr>
      <w:r>
        <w:rPr>
          <w:bCs/>
          <w:b/>
        </w:rPr>
        <w:t xml:space="preserve">Cradle-to-Gate PCF = Raw Material Emissions + Manufacturing Emissions + Upstream Transportation Emissions</w:t>
      </w:r>
    </w:p>
    <w:p>
      <w:pPr>
        <w:pStyle w:val="BodyText"/>
      </w:pPr>
      <w:r>
        <w:rPr>
          <w:bCs/>
          <w:b/>
        </w:rPr>
        <w:t xml:space="preserve">Cradle-to-Gate PCF = 3.675 kgCO2e + 2.70 kgCO2e + 0.12 kgCO2e = 6.495 kgCO2e/unit</w:t>
      </w:r>
    </w:p>
    <w:p>
      <w:r>
        <w:pict>
          <v:rect style="width:0;height:1.5pt" o:hralign="center" o:hrstd="t" o:hr="t"/>
        </w:pict>
      </w:r>
    </w:p>
    <w:bookmarkEnd w:id="42"/>
    <w:bookmarkStart w:id="46" w:name="Xf333a2260b44502f2104c5a636ead6dac50900b"/>
    <w:p>
      <w:pPr>
        <w:pStyle w:val="Heading3"/>
      </w:pPr>
      <w:r>
        <w:t xml:space="preserve">4.5 Extended Lifecycle PCF (Cradle-to-Grave Analysis)</w:t>
      </w:r>
    </w:p>
    <w:p>
      <w:pPr>
        <w:pStyle w:val="FirstParagraph"/>
      </w:pPr>
      <w:r>
        <w:t xml:space="preserve">For a comprehensive understanding, and to meet the high-detail analysis requirements including Use Phase and End-of-Life, these downstream stages are calculated as part of an extended lifecycle assessment.</w:t>
      </w:r>
    </w:p>
    <w:bookmarkStart w:id="43" w:name="X69d86a05501a108f7fcd7c39a986bfbf61a86f7"/>
    <w:p>
      <w:pPr>
        <w:pStyle w:val="Heading4"/>
      </w:pPr>
      <w:r>
        <w:t xml:space="preserve">D. Last-Mile Delivery (Scope 3, Category 9: Downstream Transportation and Distribution)</w:t>
      </w:r>
    </w:p>
    <w:p>
      <w:pPr>
        <w:pStyle w:val="FirstParagraph"/>
      </w:pPr>
      <w:r>
        <w:t xml:space="preserve">Assuming the product is shipped from a European distribution hub directly to the customer via an electric van for "last-mile" delivery.</w:t>
      </w:r>
    </w:p>
    <w:p>
      <w:pPr>
        <w:numPr>
          <w:ilvl w:val="0"/>
          <w:numId w:val="1016"/>
        </w:numPr>
        <w:pStyle w:val="Compact"/>
      </w:pPr>
      <w:r>
        <w:t xml:space="preserve">Illustrative Last-Mile Emission Factor (Electric Van): 0.1 kgCO2e/unit (considering packaging and typical delivery routes/volumes).</w:t>
      </w:r>
    </w:p>
    <w:p>
      <w:pPr>
        <w:numPr>
          <w:ilvl w:val="0"/>
          <w:numId w:val="1016"/>
        </w:numPr>
        <w:pStyle w:val="Compact"/>
      </w:pPr>
      <w:r>
        <w:rPr>
          <w:bCs/>
          <w:b/>
        </w:rPr>
        <w:t xml:space="preserve">Last-Mile Delivery Emissions: 0.10 kgCO2e/unit</w:t>
      </w:r>
    </w:p>
    <w:bookmarkEnd w:id="43"/>
    <w:bookmarkStart w:id="44" w:name="X6243720b7fa836f98d5d62f682aff7d0867f392"/>
    <w:p>
      <w:pPr>
        <w:pStyle w:val="Heading4"/>
      </w:pPr>
      <w:r>
        <w:t xml:space="preserve">E. Use Phase (Scope 3, Category 11: Use of Sold Products)</w:t>
      </w:r>
    </w:p>
    <w:p>
      <w:pPr>
        <w:pStyle w:val="FirstParagraph"/>
      </w:pPr>
      <w:r>
        <w:t xml:space="preserve">Energy consumption during the product\'s lifespan.</w:t>
      </w:r>
    </w:p>
    <w:p>
      <w:pPr>
        <w:numPr>
          <w:ilvl w:val="0"/>
          <w:numId w:val="1017"/>
        </w:numPr>
        <w:pStyle w:val="Compact"/>
      </w:pPr>
      <w:r>
        <w:t xml:space="preserve">Product Lifespan: 5 years</w:t>
      </w:r>
    </w:p>
    <w:p>
      <w:pPr>
        <w:numPr>
          <w:ilvl w:val="0"/>
          <w:numId w:val="1017"/>
        </w:numPr>
        <w:pStyle w:val="Compact"/>
      </w:pPr>
      <w:r>
        <w:t xml:space="preserve">Annual Energy Consumption: 10 kWh/year</w:t>
      </w:r>
    </w:p>
    <w:p>
      <w:pPr>
        <w:numPr>
          <w:ilvl w:val="0"/>
          <w:numId w:val="1017"/>
        </w:numPr>
        <w:pStyle w:val="Compact"/>
      </w:pPr>
      <w:r>
        <w:t xml:space="preserve">Total Energy Consumption over lifespan: 10 kWh/year * 5 years = 50 kWh/unit</w:t>
      </w:r>
    </w:p>
    <w:p>
      <w:pPr>
        <w:numPr>
          <w:ilvl w:val="0"/>
          <w:numId w:val="1017"/>
        </w:numPr>
        <w:pStyle w:val="Compact"/>
      </w:pPr>
      <w:r>
        <w:t xml:space="preserve">European grid electricity emission factor (illustrative): 0.25 kgCO2e/kWh</w:t>
      </w:r>
    </w:p>
    <w:p>
      <w:pPr>
        <w:numPr>
          <w:ilvl w:val="0"/>
          <w:numId w:val="1017"/>
        </w:numPr>
        <w:pStyle w:val="Compact"/>
      </w:pPr>
      <w:r>
        <w:rPr>
          <w:bCs/>
          <w:b/>
        </w:rPr>
        <w:t xml:space="preserve">Use Phase Emissions:</w:t>
      </w:r>
      <w:r>
        <w:t xml:space="preserve"> </w:t>
      </w:r>
      <w:r>
        <w:t xml:space="preserve">50 kWh/unit * 0.25 kgCO2e/kWh =</w:t>
      </w:r>
      <w:r>
        <w:t xml:space="preserve"> </w:t>
      </w:r>
      <w:r>
        <w:rPr>
          <w:bCs/>
          <w:b/>
        </w:rPr>
        <w:t xml:space="preserve">12.50 kgCO2e/unit</w:t>
      </w:r>
    </w:p>
    <w:bookmarkEnd w:id="44"/>
    <w:bookmarkStart w:id="45" w:name="Xc953378635113b513299bd97a1c3f8ffd957609"/>
    <w:p>
      <w:pPr>
        <w:pStyle w:val="Heading4"/>
      </w:pPr>
      <w:r>
        <w:t xml:space="preserve">F. End-of-Life (EoL) (Scope 3, Category 12: End-of-Life Treatment of Sold Products)</w:t>
      </w:r>
    </w:p>
    <w:p>
      <w:pPr>
        <w:pStyle w:val="FirstParagraph"/>
      </w:pPr>
      <w:r>
        <w:t xml:space="preserve">The total product weight (excluding packaging, as packaging EoL is handled separately) is 0.5 kg/unit.</w:t>
      </w:r>
    </w:p>
    <w:p>
      <w:pPr>
        <w:numPr>
          <w:ilvl w:val="0"/>
          <w:numId w:val="1018"/>
        </w:numPr>
        <w:pStyle w:val="Compact"/>
      </w:pPr>
      <w:r>
        <w:rPr>
          <w:bCs/>
          <w:b/>
        </w:rPr>
        <w:t xml:space="preserve">Product Material EoL:</w:t>
      </w:r>
    </w:p>
    <w:p>
      <w:pPr>
        <w:numPr>
          <w:ilvl w:val="0"/>
          <w:numId w:val="1018"/>
        </w:numPr>
        <w:pStyle w:val="Compact"/>
      </w:pPr>
    </w:p>
    <w:p>
      <w:pPr>
        <w:numPr>
          <w:ilvl w:val="1"/>
          <w:numId w:val="1019"/>
        </w:numPr>
        <w:pStyle w:val="Compact"/>
      </w:pPr>
      <w:r>
        <w:t xml:space="preserve">Recycled portion: 0.5 kg * 80% = 0.4 kg</w:t>
      </w:r>
    </w:p>
    <w:p>
      <w:pPr>
        <w:numPr>
          <w:ilvl w:val="1"/>
          <w:numId w:val="1019"/>
        </w:numPr>
        <w:pStyle w:val="Compact"/>
      </w:pPr>
      <w:r>
        <w:t xml:space="preserve">Landfilled portion: 0.5 kg * 20% = 0.1 kg</w:t>
      </w:r>
    </w:p>
    <w:p>
      <w:pPr>
        <w:numPr>
          <w:ilvl w:val="1"/>
          <w:numId w:val="1019"/>
        </w:numPr>
        <w:pStyle w:val="Compact"/>
      </w:pPr>
      <w:r>
        <w:t xml:space="preserve">Emissions from recycled materials: 0.4 kg * (-0.3 kgCO2e/kg credit) = -0.12 kgCO2e</w:t>
      </w:r>
    </w:p>
    <w:p>
      <w:pPr>
        <w:numPr>
          <w:ilvl w:val="1"/>
          <w:numId w:val="1019"/>
        </w:numPr>
        <w:pStyle w:val="Compact"/>
      </w:pPr>
      <w:r>
        <w:t xml:space="preserve">Emissions from landfilled materials: 0.1 kg * 1.5 kgCO2e/kg = 0.15 kgCO2e</w:t>
      </w:r>
    </w:p>
    <w:p>
      <w:pPr>
        <w:numPr>
          <w:ilvl w:val="1"/>
          <w:numId w:val="1019"/>
        </w:numPr>
        <w:pStyle w:val="Compact"/>
      </w:pPr>
      <w:r>
        <w:t xml:space="preserve">Subtotal Product EoL: -0.12 + 0.15 = 0.03 kgCO2e/unit</w:t>
      </w:r>
    </w:p>
    <w:p>
      <w:pPr>
        <w:numPr>
          <w:ilvl w:val="0"/>
          <w:numId w:val="1018"/>
        </w:numPr>
        <w:pStyle w:val="Compact"/>
      </w:pPr>
      <w:r>
        <w:rPr>
          <w:bCs/>
          <w:b/>
        </w:rPr>
        <w:t xml:space="preserve">Packaging EoL:</w:t>
      </w:r>
    </w:p>
    <w:p>
      <w:pPr>
        <w:numPr>
          <w:ilvl w:val="0"/>
          <w:numId w:val="1018"/>
        </w:numPr>
        <w:pStyle w:val="Compact"/>
      </w:pPr>
    </w:p>
    <w:p>
      <w:pPr>
        <w:numPr>
          <w:ilvl w:val="1"/>
          <w:numId w:val="1020"/>
        </w:numPr>
        <w:pStyle w:val="Compact"/>
      </w:pPr>
      <w:r>
        <w:t xml:space="preserve">Packaging weight: 0.1 kg</w:t>
      </w:r>
    </w:p>
    <w:p>
      <w:pPr>
        <w:numPr>
          <w:ilvl w:val="1"/>
          <w:numId w:val="1020"/>
        </w:numPr>
        <w:pStyle w:val="Compact"/>
      </w:pPr>
      <w:r>
        <w:t xml:space="preserve">Recycled packaging: 0.1 kg * 80% = 0.08 kg</w:t>
      </w:r>
    </w:p>
    <w:p>
      <w:pPr>
        <w:numPr>
          <w:ilvl w:val="1"/>
          <w:numId w:val="1020"/>
        </w:numPr>
        <w:pStyle w:val="Compact"/>
      </w:pPr>
      <w:r>
        <w:t xml:space="preserve">Landfilled packaging: 0.1 kg * 20% = 0.02 kg</w:t>
      </w:r>
    </w:p>
    <w:p>
      <w:pPr>
        <w:numPr>
          <w:ilvl w:val="1"/>
          <w:numId w:val="1020"/>
        </w:numPr>
        <w:pStyle w:val="Compact"/>
      </w:pPr>
      <w:r>
        <w:t xml:space="preserve">Emissions from recycled packaging: 0.08 kg * (-0.1 kgCO2e/kg credit) = -0.008 kgCO2e</w:t>
      </w:r>
    </w:p>
    <w:p>
      <w:pPr>
        <w:numPr>
          <w:ilvl w:val="1"/>
          <w:numId w:val="1020"/>
        </w:numPr>
        <w:pStyle w:val="Compact"/>
      </w:pPr>
      <w:r>
        <w:t xml:space="preserve">Emissions from landfilled packaging: 0.02 kg * 0.5 kgCO2e/kg = 0.01 kgCO2e</w:t>
      </w:r>
    </w:p>
    <w:p>
      <w:pPr>
        <w:numPr>
          <w:ilvl w:val="1"/>
          <w:numId w:val="1020"/>
        </w:numPr>
        <w:pStyle w:val="Compact"/>
      </w:pPr>
      <w:r>
        <w:t xml:space="preserve">Subtotal Packaging EoL: -0.008 + 0.01 = 0.002 kgCO2e/unit</w:t>
      </w:r>
    </w:p>
    <w:p>
      <w:pPr>
        <w:numPr>
          <w:ilvl w:val="0"/>
          <w:numId w:val="1018"/>
        </w:numPr>
        <w:pStyle w:val="Compact"/>
      </w:pPr>
      <w:r>
        <w:rPr>
          <w:bCs/>
          <w:b/>
        </w:rPr>
        <w:t xml:space="preserve">Total End-of-Life Emissions: 0.03 + 0.002 = 0.032 kgCO2e/unit</w:t>
      </w:r>
    </w:p>
    <w:bookmarkEnd w:id="45"/>
    <w:bookmarkEnd w:id="46"/>
    <w:bookmarkStart w:id="47" w:name="Xcb66a59667fdfe988685bafca9be71574967de6"/>
    <w:p>
      <w:pPr>
        <w:pStyle w:val="Heading3"/>
      </w:pPr>
      <w:r>
        <w:t xml:space="preserve">Total PCF (Cradle-to-Grave - Extended Lifecycle)</w:t>
      </w:r>
    </w:p>
    <w:p>
      <w:pPr>
        <w:pStyle w:val="FirstParagraph"/>
      </w:pPr>
      <w:r>
        <w:t xml:space="preserve">The comprehensive cradle-to-grave PCF for one unit of ulkypqrxvn (Smart Home Hub), including all upstream and downstream value chain activities, is:</w:t>
      </w:r>
    </w:p>
    <w:p>
      <w:pPr>
        <w:pStyle w:val="BodyText"/>
      </w:pPr>
      <w:r>
        <w:rPr>
          <w:bCs/>
          <w:b/>
        </w:rPr>
        <w:t xml:space="preserve">Cradle-to-Grave PCF = Cradle-to-Gate PCF + Last-Mile Delivery + Use Phase + End-of-Life Emissions</w:t>
      </w:r>
    </w:p>
    <w:p>
      <w:pPr>
        <w:pStyle w:val="BodyText"/>
      </w:pPr>
      <w:r>
        <w:rPr>
          <w:bCs/>
          <w:b/>
        </w:rPr>
        <w:t xml:space="preserve">Cradle-to-Grave PCF = 6.495 kgCO2e + 0.10 kgCO2e + 12.50 kgCO2e + 0.032 kgCO2e = 19.127 kgCO2e/unit</w:t>
      </w:r>
    </w:p>
    <w:bookmarkEnd w:id="47"/>
    <w:bookmarkStart w:id="48" w:name="X9b8f96e5fd6ec30b02c91cc11d45f1568d9808c"/>
    <w:p>
      <w:pPr>
        <w:pStyle w:val="Heading3"/>
      </w:pPr>
      <w:r>
        <w:t xml:space="preserve">4.6 Summary of Emissions by Scope and Lifecycle Stage</w:t>
      </w:r>
    </w:p>
    <w:p>
      <w:pPr>
        <w:pStyle w:val="FirstParagraph"/>
      </w:pPr>
      <w:r>
        <w:t xml:space="preserve">The following table provides a breakdown of emissions for the ulkypqrxvn (Smart Home Hub) per functional unit (1.0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3.675</w:t>
            </w:r>
          </w:p>
        </w:tc>
        <w:tc>
          <w:tcPr/>
          <w:p>
            <w:pPr>
              <w:pStyle w:val="Compact"/>
              <w:jc w:val="left"/>
            </w:pPr>
            <w:r>
              <w:t xml:space="preserve">Based on Detailed BOM (`smxpxmyf`)</w:t>
            </w:r>
          </w:p>
        </w:tc>
      </w:tr>
      <w:tr>
        <w:tc>
          <w:tcPr/>
          <w:p>
            <w:pPr>
              <w:pStyle w:val="Compact"/>
              <w:jc w:val="left"/>
            </w:pPr>
            <w:r>
              <w:t xml:space="preserve">Manufacturing (Production)</w:t>
            </w:r>
          </w:p>
        </w:tc>
        <w:tc>
          <w:tcPr/>
          <w:p>
            <w:pPr>
              <w:pStyle w:val="Compact"/>
              <w:jc w:val="left"/>
            </w:pPr>
            <w:r>
              <w:t xml:space="preserve">Scope 2</w:t>
            </w:r>
          </w:p>
        </w:tc>
        <w:tc>
          <w:tcPr/>
          <w:p>
            <w:pPr>
              <w:pStyle w:val="Compact"/>
              <w:jc w:val="left"/>
            </w:pPr>
            <w:r>
              <w:t xml:space="preserve">2.700</w:t>
            </w:r>
          </w:p>
        </w:tc>
        <w:tc>
          <w:tcPr/>
          <w:p>
            <w:pPr>
              <w:pStyle w:val="Compact"/>
              <w:jc w:val="left"/>
            </w:pPr>
            <w:r>
              <w:t xml:space="preserve">Based on Energy Intensity (`rfutqlzqyx`) and Renewable Energy Usage (`rihsregqsi`)</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0.120</w:t>
            </w:r>
          </w:p>
        </w:tc>
        <w:tc>
          <w:tcPr/>
          <w:p>
            <w:pPr>
              <w:pStyle w:val="Compact"/>
              <w:jc w:val="left"/>
            </w:pPr>
            <w:r>
              <w:t xml:space="preserve">Ocean Freight &amp; Road Transport for components/product</w:t>
            </w:r>
          </w:p>
        </w:tc>
      </w:tr>
      <w:tr>
        <w:tc>
          <w:tcPr/>
          <w:p>
            <w:pPr>
              <w:pStyle w:val="Compact"/>
              <w:jc w:val="left"/>
            </w:pPr>
            <w:r>
              <w:rPr>
                <w:bCs/>
                <w:b/>
              </w:rPr>
              <w:t xml:space="preserve">Total Cradle-to-Gate PCF</w:t>
            </w:r>
          </w:p>
        </w:tc>
        <w:tc>
          <w:tcPr/>
          <w:p>
            <w:pPr>
              <w:pStyle w:val="Compact"/>
            </w:pPr>
          </w:p>
        </w:tc>
        <w:tc>
          <w:tcPr/>
          <w:p>
            <w:pPr>
              <w:pStyle w:val="Compact"/>
              <w:jc w:val="left"/>
            </w:pPr>
            <w:r>
              <w:rPr>
                <w:bCs/>
                <w:b/>
              </w:rPr>
              <w:t xml:space="preserve">6.495</w:t>
            </w:r>
          </w:p>
        </w:tc>
        <w:tc>
          <w:tcPr/>
          <w:p>
            <w:pPr>
              <w:pStyle w:val="Compact"/>
            </w:pP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0.100</w:t>
            </w:r>
          </w:p>
        </w:tc>
        <w:tc>
          <w:tcPr/>
          <w:p>
            <w:pPr>
              <w:pStyle w:val="Compact"/>
              <w:jc w:val="left"/>
            </w:pPr>
            <w:r>
              <w:t xml:space="preserve">Last-mile delivery to end-user via Electric Van</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c>
          <w:tcPr/>
          <w:p>
            <w:pPr>
              <w:pStyle w:val="Compact"/>
              <w:jc w:val="left"/>
            </w:pPr>
            <w:r>
              <w:t xml:space="preserve">Based on Product Lifespan (`uzdmvltvkg`) and Energy in Use (`mwhdhrtesy`)</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0.032</w:t>
            </w:r>
          </w:p>
        </w:tc>
        <w:tc>
          <w:tcPr/>
          <w:p>
            <w:pPr>
              <w:pStyle w:val="Compact"/>
              <w:jc w:val="left"/>
            </w:pPr>
            <w:r>
              <w:t xml:space="preserve">Based on Recyclability (`zmijwwfhgq`) and disposal scenarios</w:t>
            </w:r>
          </w:p>
        </w:tc>
      </w:tr>
      <w:tr>
        <w:tc>
          <w:tcPr>
            <w:gridSpan w:val="2"/>
          </w:tcPr>
          <w:p>
            <w:pPr>
              <w:pStyle w:val="Compact"/>
              <w:jc w:val="left"/>
            </w:pPr>
            <w:r>
              <w:rPr>
                <w:bCs/>
                <w:b/>
              </w:rPr>
              <w:t xml:space="preserve">Total Cradle-to-Grave PCF</w:t>
            </w:r>
          </w:p>
        </w:tc>
        <w:tc>
          <w:tcPr/>
          <w:p>
            <w:pPr>
              <w:pStyle w:val="Compact"/>
              <w:jc w:val="left"/>
            </w:pPr>
            <w:r>
              <w:rPr>
                <w:bCs/>
                <w:b/>
              </w:rPr>
              <w:t xml:space="preserve">19.127</w:t>
            </w:r>
          </w:p>
        </w:tc>
        <w:tc>
          <w:tcPr/>
          <w:p>
            <w:pPr>
              <w:pStyle w:val="Compact"/>
            </w:pPr>
          </w:p>
        </w:tc>
      </w:tr>
    </w:tbl>
    <w:p>
      <w:r>
        <w:pict>
          <v:rect style="width:0;height:1.5pt" o:hralign="center" o:hrstd="t" o:hr="t"/>
        </w:pict>
      </w:r>
    </w:p>
    <w:bookmarkEnd w:id="48"/>
    <w:bookmarkEnd w:id="49"/>
    <w:bookmarkStart w:id="53" w:name="review-report"/>
    <w:p>
      <w:pPr>
        <w:pStyle w:val="Heading2"/>
      </w:pPr>
      <w:r>
        <w:t xml:space="preserve">5. Review &amp; Report</w:t>
      </w:r>
    </w:p>
    <w:bookmarkStart w:id="50" w:name="hotspots-identification"/>
    <w:p>
      <w:pPr>
        <w:pStyle w:val="Heading3"/>
      </w:pPr>
      <w:r>
        <w:t xml:space="preserve">5.1 Hotspots Identification</w:t>
      </w:r>
    </w:p>
    <w:p>
      <w:pPr>
        <w:pStyle w:val="FirstParagraph"/>
      </w:pPr>
      <w:r>
        <w:t xml:space="preserve">The analysis identifies the following primary emission hotspots for the ulkypqrxvn (Smart Home Hub):</w:t>
      </w:r>
    </w:p>
    <w:p>
      <w:pPr>
        <w:numPr>
          <w:ilvl w:val="0"/>
          <w:numId w:val="1021"/>
        </w:numPr>
        <w:pStyle w:val="Compact"/>
      </w:pPr>
      <w:r>
        <w:rPr>
          <w:bCs/>
          <w:b/>
        </w:rPr>
        <w:t xml:space="preserve">Use Phase (12.50 kgCO2e/unit):</w:t>
      </w:r>
      <w:r>
        <w:t xml:space="preserve"> </w:t>
      </w:r>
      <w:r>
        <w:t xml:space="preserve">This constitutes the largest portion of the product\'s carbon footprint (approximately 65% of the total cradle-to-grave PCF). This is primarily due to the energy consumption of the device over its 5-year lifespan, even with an assumed average European grid mix.</w:t>
      </w:r>
    </w:p>
    <w:p>
      <w:pPr>
        <w:numPr>
          <w:ilvl w:val="0"/>
          <w:numId w:val="1021"/>
        </w:numPr>
        <w:pStyle w:val="Compact"/>
      </w:pPr>
      <w:r>
        <w:rPr>
          <w:bCs/>
          <w:b/>
        </w:rPr>
        <w:t xml:space="preserve">Raw Material Acquisition &amp; Pre-processing (3.675 kgCO2e/unit):</w:t>
      </w:r>
      <w:r>
        <w:t xml:space="preserve"> </w:t>
      </w:r>
      <w:r>
        <w:t xml:space="preserve">Materials, particularly aluminum, contribute significantly to the upstream emissions (approximately 19% of the total cradle-to-grave PCF). The energy-intensive processes for producing primary aluminum are a key factor.</w:t>
      </w:r>
    </w:p>
    <w:p>
      <w:pPr>
        <w:numPr>
          <w:ilvl w:val="0"/>
          <w:numId w:val="1021"/>
        </w:numPr>
        <w:pStyle w:val="Compact"/>
      </w:pPr>
      <w:r>
        <w:rPr>
          <w:bCs/>
          <w:b/>
        </w:rPr>
        <w:t xml:space="preserve">Manufacturing (Production) (2.70 kgCO2e/unit):</w:t>
      </w:r>
      <w:r>
        <w:t xml:space="preserve"> </w:t>
      </w:r>
      <w:r>
        <w:t xml:space="preserve">Despite 70% renewable energy usage, the remaining grid electricity from China\'s still carbon-intensive mix contributes substantially (approximately 14% of the total cradle-to-grave PCF).</w:t>
      </w:r>
    </w:p>
    <w:bookmarkEnd w:id="50"/>
    <w:bookmarkStart w:id="51" w:name="reliability-and-limitations"/>
    <w:p>
      <w:pPr>
        <w:pStyle w:val="Heading3"/>
      </w:pPr>
      <w:r>
        <w:t xml:space="preserve">5.2 Reliability and Limitations</w:t>
      </w:r>
    </w:p>
    <w:p>
      <w:pPr>
        <w:pStyle w:val="FirstParagraph"/>
      </w:pPr>
      <w:r>
        <w:t xml:space="preserve">The reliability of this PCF analysis is contingent on the accuracy and completeness of the data.</w:t>
      </w:r>
    </w:p>
    <w:p>
      <w:pPr>
        <w:numPr>
          <w:ilvl w:val="0"/>
          <w:numId w:val="1022"/>
        </w:numPr>
        <w:pStyle w:val="Compact"/>
      </w:pPr>
      <w:r>
        <w:rPr>
          <w:bCs/>
          <w:b/>
        </w:rPr>
        <w:t xml:space="preserve">Primary Data:</w:t>
      </w:r>
      <w:r>
        <w:t xml:space="preserve"> </w:t>
      </w:r>
      <w:r>
        <w:t xml:space="preserve">Specific parameters like BOM, energy intensity, renewable energy usage, lifespan, and energy in use were provided. These are crucial for product-specific accuracy.</w:t>
      </w:r>
    </w:p>
    <w:p>
      <w:pPr>
        <w:numPr>
          <w:ilvl w:val="0"/>
          <w:numId w:val="1022"/>
        </w:numPr>
        <w:pStyle w:val="Compact"/>
      </w:pPr>
      <w:r>
        <w:rPr>
          <w:bCs/>
          <w:b/>
        </w:rPr>
        <w:t xml:space="preserve">Secondary Data:</w:t>
      </w:r>
      <w:r>
        <w:t xml:space="preserve"> </w:t>
      </w:r>
      <w:r>
        <w:t xml:space="preserve">Illustrative industry-average emission factors (e.g., for materials, energy grids, and transportation) from recognized sources (Ecoinvent/DEFRA equivalents) were utilized where primary data placeholders were provided. While these factors are robust for general assessments, they may not perfectly capture the specific supplier or regional nuances.</w:t>
      </w:r>
    </w:p>
    <w:p>
      <w:pPr>
        <w:numPr>
          <w:ilvl w:val="0"/>
          <w:numId w:val="1022"/>
        </w:numPr>
        <w:pStyle w:val="Compact"/>
      </w:pPr>
      <w:r>
        <w:rPr>
          <w:bCs/>
          <w:b/>
        </w:rPr>
        <w:t xml:space="preserve">System Boundary Interpretation:</w:t>
      </w:r>
      <w:r>
        <w:t xml:space="preserve"> </w:t>
      </w:r>
      <w:r>
        <w:t xml:space="preserve">The inclusion of Use Phase and End-of-Life despite a "factory_gate" primary boundary for the core PCF was done to meet the high-detail and Scope 3 coverage requirements, presenting a more complete lifecycle picture. This distinction is clearly noted.</w:t>
      </w:r>
    </w:p>
    <w:p>
      <w:pPr>
        <w:numPr>
          <w:ilvl w:val="0"/>
          <w:numId w:val="1022"/>
        </w:numPr>
        <w:pStyle w:val="Compact"/>
      </w:pPr>
      <w:r>
        <w:rPr>
          <w:bCs/>
          <w:b/>
        </w:rPr>
        <w:t xml:space="preserve">LSR Standard:</w:t>
      </w:r>
      <w:r>
        <w:t xml:space="preserve"> </w:t>
      </w:r>
      <w:r>
        <w:t xml:space="preserve">While the 2026 LSR Update is acknowledged, its full implementation for 2027 reporting will require further data collection on land-related impacts if relevant to the supply chain.</w:t>
      </w:r>
    </w:p>
    <w:bookmarkEnd w:id="51"/>
    <w:bookmarkStart w:id="52" w:name="recommendations-for-emission-reduction"/>
    <w:p>
      <w:pPr>
        <w:pStyle w:val="Heading3"/>
      </w:pPr>
      <w:r>
        <w:t xml:space="preserve">5.3 Recommendations for Emission Reduction</w:t>
      </w:r>
    </w:p>
    <w:p>
      <w:pPr>
        <w:pStyle w:val="FirstParagraph"/>
      </w:pPr>
      <w:r>
        <w:t xml:space="preserve">Based on the identified hotspots, rhunmxhfvp can focus on the following strategies to reduce the carbon footprint of ulkypqrxvn:</w:t>
      </w:r>
    </w:p>
    <w:p>
      <w:pPr>
        <w:numPr>
          <w:ilvl w:val="0"/>
          <w:numId w:val="1023"/>
        </w:numPr>
        <w:pStyle w:val="Compact"/>
      </w:pPr>
      <w:r>
        <w:rPr>
          <w:bCs/>
          <w:b/>
        </w:rPr>
        <w:t xml:space="preserve">Optimize Use Phase Efficiency:</w:t>
      </w:r>
    </w:p>
    <w:p>
      <w:pPr>
        <w:numPr>
          <w:ilvl w:val="1"/>
          <w:numId w:val="1024"/>
        </w:numPr>
        <w:pStyle w:val="Compact"/>
      </w:pPr>
      <w:r>
        <w:t xml:space="preserve">Improve energy efficiency of the Smart Home Hub to reduce annual electricity consumption (`mwhdhrtesy`).</w:t>
      </w:r>
    </w:p>
    <w:p>
      <w:pPr>
        <w:numPr>
          <w:ilvl w:val="1"/>
          <w:numId w:val="1024"/>
        </w:numPr>
        <w:pStyle w:val="Compact"/>
      </w:pPr>
      <w:r>
        <w:t xml:space="preserve">Explore software updates or smart energy management features to minimize idle power consumption.</w:t>
      </w:r>
    </w:p>
    <w:p>
      <w:pPr>
        <w:numPr>
          <w:ilvl w:val="1"/>
          <w:numId w:val="1024"/>
        </w:numPr>
        <w:pStyle w:val="Compact"/>
      </w:pPr>
      <w:r>
        <w:t xml:space="preserve">Educate consumers on energy-saving usage patterns.</w:t>
      </w:r>
    </w:p>
    <w:p>
      <w:pPr>
        <w:numPr>
          <w:ilvl w:val="0"/>
          <w:numId w:val="1023"/>
        </w:numPr>
        <w:pStyle w:val="Compact"/>
      </w:pPr>
      <w:r>
        <w:rPr>
          <w:bCs/>
          <w:b/>
        </w:rPr>
        <w:t xml:space="preserve">Material Decarbonization:</w:t>
      </w:r>
    </w:p>
    <w:p>
      <w:pPr>
        <w:numPr>
          <w:ilvl w:val="1"/>
          <w:numId w:val="1025"/>
        </w:numPr>
        <w:pStyle w:val="Compact"/>
      </w:pPr>
      <w:r>
        <w:t xml:space="preserve">Investigate lower-carbon alternatives for aluminum (e.g., recycled aluminum with high post-consumer content).</w:t>
      </w:r>
    </w:p>
    <w:p>
      <w:pPr>
        <w:numPr>
          <w:ilvl w:val="1"/>
          <w:numId w:val="1025"/>
        </w:numPr>
        <w:pStyle w:val="Compact"/>
      </w:pPr>
      <w:r>
        <w:t xml:space="preserve">Explore sustainable plastics (e.g., bio-based, recycled content) with lower emission factors.</w:t>
      </w:r>
    </w:p>
    <w:p>
      <w:pPr>
        <w:numPr>
          <w:ilvl w:val="1"/>
          <w:numId w:val="1025"/>
        </w:numPr>
        <w:pStyle w:val="Compact"/>
      </w:pPr>
      <w:r>
        <w:t xml:space="preserve">Engage with suppliers to understand and reduce the embodied emissions of purchased components, especially PCBs and other electronics.</w:t>
      </w:r>
    </w:p>
    <w:p>
      <w:pPr>
        <w:numPr>
          <w:ilvl w:val="0"/>
          <w:numId w:val="1023"/>
        </w:numPr>
        <w:pStyle w:val="Compact"/>
      </w:pPr>
      <w:r>
        <w:rPr>
          <w:bCs/>
          <w:b/>
        </w:rPr>
        <w:t xml:space="preserve">Green Manufacturing &amp; Supply Chain:</w:t>
      </w:r>
    </w:p>
    <w:p>
      <w:pPr>
        <w:numPr>
          <w:ilvl w:val="1"/>
          <w:numId w:val="1026"/>
        </w:numPr>
        <w:pStyle w:val="Compact"/>
      </w:pPr>
      <w:r>
        <w:t xml:space="preserve">Increase renewable energy procurement at the manufacturing facility beyond 70%.</w:t>
      </w:r>
    </w:p>
    <w:p>
      <w:pPr>
        <w:numPr>
          <w:ilvl w:val="1"/>
          <w:numId w:val="1026"/>
        </w:numPr>
        <w:pStyle w:val="Compact"/>
      </w:pPr>
      <w:r>
        <w:t xml:space="preserve">Work with suppliers in China to reduce their grid reliance or transition to cleaner energy sources.</w:t>
      </w:r>
    </w:p>
    <w:p>
      <w:pPr>
        <w:numPr>
          <w:ilvl w:val="1"/>
          <w:numId w:val="1026"/>
        </w:numPr>
        <w:pStyle w:val="Compact"/>
      </w:pPr>
      <w:r>
        <w:t xml:space="preserve">Optimize transportation routes and consider alternative, lower-carbon freight modes where feasible.</w:t>
      </w:r>
    </w:p>
    <w:p>
      <w:pPr>
        <w:numPr>
          <w:ilvl w:val="0"/>
          <w:numId w:val="1023"/>
        </w:numPr>
        <w:pStyle w:val="Compact"/>
      </w:pPr>
      <w:r>
        <w:rPr>
          <w:bCs/>
          <w:b/>
        </w:rPr>
        <w:t xml:space="preserve">Enhance Circularity:</w:t>
      </w:r>
    </w:p>
    <w:p>
      <w:pPr>
        <w:numPr>
          <w:ilvl w:val="1"/>
          <w:numId w:val="1027"/>
        </w:numPr>
        <w:pStyle w:val="Compact"/>
      </w:pPr>
      <w:r>
        <w:t xml:space="preserve">Strengthen the existing take-back programs to maximize product and material recovery.</w:t>
      </w:r>
    </w:p>
    <w:p>
      <w:pPr>
        <w:numPr>
          <w:ilvl w:val="1"/>
          <w:numId w:val="1027"/>
        </w:numPr>
        <w:pStyle w:val="Compact"/>
      </w:pPr>
      <w:r>
        <w:t xml:space="preserve">Design for easier disassembly, repairability, and higher-value recycling to further improve End-of-Life impacts.</w:t>
      </w:r>
    </w:p>
    <w:p>
      <w:r>
        <w:pict>
          <v:rect style="width:0;height:1.5pt" o:hralign="center" o:hrstd="t" o:hr="t"/>
        </w:pict>
      </w:r>
    </w:p>
    <w:p>
      <w:pPr>
        <w:pStyle w:val="FirstParagraph"/>
      </w:pPr>
      <w:r>
        <w:t xml:space="preserve">Confidential - Internal Use Only | Page 6 of 6 | Generated: May 20, 2026</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ulkypqrxvn (Smart Home Hub)</dc:title>
  <dc:creator/>
  <dc:description>High-detail Product Carbon Footprint (PCF) analysis for ulkypqrxvn, a Smart Home Hub, following GHG Protocol standards, conducted by Senior Sustainability Consultant pyzjjgppxv for rhunmxhfvp.</dc:description>
  <dc:language>en</dc:language>
  <cp:keywords/>
  <dcterms:created xsi:type="dcterms:W3CDTF">2026-07-15T04:33:50Z</dcterms:created>
  <dcterms:modified xsi:type="dcterms:W3CDTF">2026-07-15T04:33:50Z</dcterms:modified>
</cp:coreProperties>
</file>

<file path=docProps/custom.xml><?xml version="1.0" encoding="utf-8"?>
<Properties xmlns="http://schemas.openxmlformats.org/officeDocument/2006/custom-properties" xmlns:vt="http://schemas.openxmlformats.org/officeDocument/2006/docPropsVTypes"/>
</file>