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uljxmgqeds</w:t>
      </w:r>
    </w:p>
    <w:p>
      <w:pPr>
        <w:pStyle w:val="FirstParagraph"/>
      </w:pPr>
      <w:r>
        <w:t xml:space="preserve">carboncalcpcf.com</w:t>
      </w:r>
    </w:p>
    <w:bookmarkStart w:id="21" w:name="product-carbon-footprint-report"/>
    <w:p>
      <w:pPr>
        <w:pStyle w:val="Heading1"/>
      </w:pPr>
      <w:r>
        <w:t xml:space="preserve">Product Carbon Footprint Report</w:t>
      </w:r>
    </w:p>
    <w:bookmarkStart w:id="20" w:name="for-uljxmgqeds"/>
    <w:p>
      <w:pPr>
        <w:pStyle w:val="Heading2"/>
      </w:pPr>
      <w:r>
        <w:t xml:space="preserve">for uljxmgqeds</w:t>
      </w:r>
    </w:p>
    <w:p>
      <w:pPr>
        <w:pStyle w:val="FirstParagraph"/>
      </w:pPr>
      <w:r>
        <w:rPr>
          <w:bCs/>
          <w:b/>
        </w:rPr>
        <w:t xml:space="preserve">Company Name:</w:t>
      </w:r>
      <w:r>
        <w:t xml:space="preserve"> </w:t>
      </w:r>
      <w:r>
        <w:t xml:space="preserve">dvmmfvqgdk</w:t>
      </w:r>
    </w:p>
    <w:p>
      <w:pPr>
        <w:pStyle w:val="BodyText"/>
      </w:pPr>
      <w:r>
        <w:rPr>
          <w:bCs/>
          <w:b/>
        </w:rPr>
        <w:t xml:space="preserve">Senior Sustainability Consultant:</w:t>
      </w:r>
      <w:r>
        <w:t xml:space="preserve"> </w:t>
      </w:r>
      <w:r>
        <w:t xml:space="preserve">pwnpkttyif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 high-level assessment and should be used for informational purposes and strategic decision-making.</w:t>
      </w:r>
    </w:p>
    <w:bookmarkEnd w:id="20"/>
    <w:bookmarkEnd w:id="21"/>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"uljxmgqeds" manufactured by dvmmfvqgdk. The analysis, conducted by Senior Sustainability Consultant pwnpkttyif, adheres to the Greenhouse Gas (GHG) Protocol standards, including recent updates from 2026. The aim is to quantify the greenhouse gas emissions across the product\'s entire lifecycle, from material acquisition to end-of-life, to identify environmental hotspots and inform strategic reduction efforts. Key parameters such as a detailed Bill of Materials (BOM), specific transport logistics, renewable energy usage in production, product lifespan, energy consumption during use, and end-of-life scenarios have been incorporated to provide a comprehensive and accurate assessment.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uljxmgqeds follows a rigorous methodology aligned with the GHG Protocol, specifically utilizing the Product Standard in conjunction with the Corporate Standard for categorization of emissions into Scope 1, Scope 2, and Scope 3.</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uljxmgqeds</w:t>
      </w:r>
      <w:r>
        <w:t xml:space="preserve">.</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"cradle-to-grave"</w:t>
      </w:r>
      <w:r>
        <w:t xml:space="preserve">, encompassing all stages from raw material extraction and processing, through manufacturing, transportation, use phase, and ultimately, end-of-life treatment. While the parameter "factory_gate" was provided, a comprehensive PCF analysis as requested by the detailed parameters (including use phase and end-of-life) necessitates a full cradle-to-grave assessment. "Factory_gate" is specifically considered the boundary for direct operational emissions related to manufacturing (Scope 1 and Scope 2) within dvmmfvqgdk\'s control, with other lifecycle stages falling under Scope 3.</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occur predominantly in Europe, reflecting the supply chain focus.</w:t>
      </w:r>
    </w:p>
    <w:bookmarkEnd w:id="25"/>
    <w:bookmarkStart w:id="26"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w:t>
      </w:r>
      <w:r>
        <w:t xml:space="preserve">. Emissions are categorized into:</w:t>
      </w:r>
    </w:p>
    <w:p>
      <w:pPr>
        <w:numPr>
          <w:ilvl w:val="0"/>
          <w:numId w:val="1002"/>
        </w:numPr>
        <w:pStyle w:val="Compact"/>
      </w:pPr>
      <w:r>
        <w:rPr>
          <w:bCs/>
          <w:b/>
        </w:rPr>
        <w:t xml:space="preserve">Scope 1:</w:t>
      </w:r>
      <w:r>
        <w:t xml:space="preserve"> </w:t>
      </w:r>
      <w:r>
        <w:t xml:space="preserve">Direct GHG emissions from sources owned or controlled by dvmmfvqgdk.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dvmmfvqgdk.</w:t>
      </w:r>
    </w:p>
    <w:p>
      <w:pPr>
        <w:numPr>
          <w:ilvl w:val="0"/>
          <w:numId w:val="1002"/>
        </w:numPr>
        <w:pStyle w:val="Compact"/>
      </w:pPr>
      <w:r>
        <w:rPr>
          <w:bCs/>
          <w:b/>
        </w:rPr>
        <w:t xml:space="preserve">Scope 3:</w:t>
      </w:r>
      <w:r>
        <w:t xml:space="preserve"> </w:t>
      </w:r>
      <w:r>
        <w:t xml:space="preserve">All other indirect emissions occurring in the value chain of dvmmfvqgdk, both upstream (e.g., purchased goods and services, upstream transportation) and downstream (e.g., use of sold products, end-of-life treatment).</w:t>
      </w:r>
    </w:p>
    <w:p>
      <w:pPr>
        <w:pStyle w:val="FirstParagraph"/>
      </w:pPr>
      <w:r>
        <w:rPr>
          <w:bCs/>
          <w:b/>
        </w:rPr>
        <w:t xml:space="preserve">2026 LSR Update:</w:t>
      </w:r>
      <w:r>
        <w:t xml:space="preserve"> </w:t>
      </w:r>
      <w:r>
        <w:t xml:space="preserve">The GHG Protocol\'s Land Sector and Removals (LSR) Standard, released on January 30, 2026, and effective January 1, 2027, provides guidelines for quantifying and reporting land-related emissions and CO2 removals. While direct land-use change impacts were not explicitly detailed for this specific product\'s raw materials, adherence to this standard implies consideration for any such future data or material sourcing. We acknowledge its future applicability and importance for a complete corporate inventory.</w:t>
      </w:r>
    </w:p>
    <w:p>
      <w:pPr>
        <w:pStyle w:val="BodyText"/>
      </w:pPr>
      <w:r>
        <w:rPr>
          <w:bCs/>
          <w:b/>
        </w:rPr>
        <w:t xml:space="preserve">Scope 3 Compliance:</w:t>
      </w:r>
      <w:r>
        <w:t xml:space="preserve"> </w:t>
      </w:r>
      <w:r>
        <w:t xml:space="preserve">As per the proposed 2026 GHG Protocol revisions, this analysis aims for at least 95% coverage for total required Scope 3 emissions, ensuring a comprehensive understanding of value chain impacts.</w:t>
      </w:r>
    </w:p>
    <w:bookmarkEnd w:id="26"/>
    <w:bookmarkStart w:id="27" w:name="allocation"/>
    <w:p>
      <w:pPr>
        <w:pStyle w:val="Heading3"/>
      </w:pPr>
      <w:r>
        <w:t xml:space="preserve">1.5. Allocation</w:t>
      </w:r>
    </w:p>
    <w:p>
      <w:pPr>
        <w:pStyle w:val="FirstParagraph"/>
      </w:pPr>
      <w:r>
        <w:t xml:space="preserve">Emissions are allocated directly to the functional unit (1.0 unit of uljxmgqeds). For shared processes (e.g., facility energy), allocation is based on mass or economic proportion where applicable. For generic emission factors, industry averages are used, explicitly noted.</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The lifecycle of uljxmgqeds is mapped across the following stages, with data collected from the provided parameters. Where specific values for placeholders were not provided, plausible example data based on industry averages and geographical context has been used, clearly stated below.</w:t>
      </w:r>
    </w:p>
    <w:bookmarkStart w:id="29" w:name="X1c858762ee98f0d0bf8c978d12e31ca52fad004"/>
    <w:p>
      <w:pPr>
        <w:pStyle w:val="Heading3"/>
      </w:pPr>
      <w:r>
        <w:t xml:space="preserve">2.1. Material Acquisition &amp; Processing (Upstream - Scope 3)</w:t>
      </w:r>
    </w:p>
    <w:p>
      <w:pPr>
        <w:pStyle w:val="FirstParagraph"/>
      </w:pPr>
      <w:r>
        <w:t xml:space="preserve">The Detailed Bill of Materials (BOM) for rwztlmsq is critical for high-accuracy material impact calculation. The provided "Total Carbon" values for each BOM item are directly incorporated, representing the emissions from raw material extraction, processing, and manufacturing of the component. These are considered Scope 3, Category 1 (Purchased Goods and Services).</w:t>
      </w:r>
    </w:p>
    <w:p>
      <w:pPr>
        <w:pStyle w:val="BodyText"/>
      </w:pPr>
      <w:r>
        <w:rPr>
          <w:bCs/>
          <w:b/>
        </w:rPr>
        <w:t xml:space="preserve">Note:</w:t>
      </w:r>
      <w:r>
        <w:t xml:space="preserve"> </w:t>
      </w:r>
      <w:r>
        <w:t xml:space="preserve">As `rwztlmsq` was provided as a literal string placeholder, the following is example BOM data structured as specified (ID, Description, Category, Process, Qty, Unit, Emission Factor (kgCO2e/unit), Total Carbon (kgCO2e))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2.000</w:t>
            </w:r>
          </w:p>
        </w:tc>
      </w:tr>
      <w:tr>
        <w:tc>
          <w:tcPr/>
          <w:p>
            <w:pPr>
              <w:pStyle w:val="Compact"/>
              <w:jc w:val="left"/>
            </w:pPr>
            <w:r>
              <w:t xml:space="preserve">P001</w:t>
            </w:r>
          </w:p>
        </w:tc>
        <w:tc>
          <w:tcPr/>
          <w:p>
            <w:pPr>
              <w:pStyle w:val="Compact"/>
              <w:jc w:val="left"/>
            </w:pPr>
            <w:r>
              <w:t xml:space="preserve">ABS Plastic Shell</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2.000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0.150</w:t>
            </w:r>
          </w:p>
        </w:tc>
      </w:tr>
    </w:tbl>
    <w:p>
      <w:pPr>
        <w:pStyle w:val="BodyText"/>
      </w:pPr>
      <w:r>
        <w:rPr>
          <w:bCs/>
          <w:b/>
        </w:rPr>
        <w:t xml:space="preserve">Total Material Emissions:</w:t>
      </w:r>
      <w:r>
        <w:t xml:space="preserve"> </w:t>
      </w:r>
      <w:r>
        <w:t xml:space="preserve">4.585 kg CO2e</w:t>
      </w:r>
    </w:p>
    <w:bookmarkEnd w:id="29"/>
    <w:bookmarkStart w:id="30" w:name="X076b86f4ba134347f0b12a74b3730d6998bb9d2"/>
    <w:p>
      <w:pPr>
        <w:pStyle w:val="Heading3"/>
      </w:pPr>
      <w:r>
        <w:t xml:space="preserve">2.2. Manufacturing/Production (Company Operations - Scope 2)</w:t>
      </w:r>
    </w:p>
    <w:p>
      <w:pPr>
        <w:pStyle w:val="FirstParagraph"/>
      </w:pPr>
      <w:r>
        <w:t xml:space="preserve">Emissions from the production phase are primarily driven by energy consumption.</w:t>
      </w:r>
    </w:p>
    <w:p>
      <w:pPr>
        <w:numPr>
          <w:ilvl w:val="0"/>
          <w:numId w:val="1003"/>
        </w:numPr>
        <w:pStyle w:val="Compact"/>
      </w:pPr>
      <w:r>
        <w:rPr>
          <w:bCs/>
          <w:b/>
        </w:rPr>
        <w:t xml:space="preserve">Energy Intensity (kWh/unit):</w:t>
      </w:r>
      <w:r>
        <w:t xml:space="preserve"> </w:t>
      </w:r>
      <w:r>
        <w:t xml:space="preserve">eivoifqwgt (Example: 10 kWh/unit)</w:t>
      </w:r>
    </w:p>
    <w:p>
      <w:pPr>
        <w:numPr>
          <w:ilvl w:val="0"/>
          <w:numId w:val="1003"/>
        </w:numPr>
        <w:pStyle w:val="Compact"/>
      </w:pPr>
      <w:r>
        <w:rPr>
          <w:bCs/>
          <w:b/>
        </w:rPr>
        <w:t xml:space="preserve">Renewable Energy Usage:</w:t>
      </w:r>
      <w:r>
        <w:t xml:space="preserve"> </w:t>
      </w:r>
      <w:r>
        <w:t xml:space="preserve">rdritnrwdw (Example: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Emission Factor:</w:t>
      </w:r>
      <w:r>
        <w:t xml:space="preserve"> </w:t>
      </w:r>
      <w:r>
        <w:t xml:space="preserve">0.556 kg CO2e/kWh (Based on Climate Transparency Report 2020 data for 2019, from Climatiq)</w:t>
      </w:r>
    </w:p>
    <w:bookmarkEnd w:id="30"/>
    <w:bookmarkStart w:id="31" w:name="Xa1d8eb1017c9433f871ad3f6273ddc9b35a7d84"/>
    <w:p>
      <w:pPr>
        <w:pStyle w:val="Heading3"/>
      </w:pPr>
      <w:r>
        <w:t xml:space="preserve">2.3. Transportation &amp; Distribution (Upstream &amp; Downstream - Scope 3)</w:t>
      </w:r>
    </w:p>
    <w:p>
      <w:pPr>
        <w:pStyle w:val="FirstParagraph"/>
      </w:pPr>
      <w:r>
        <w:t xml:space="preserve">Logistics data is incorporated into the supply chain analysis, covering both inbound (raw materials to factory) and outbound (factory to customer) transport. The product\'s estimated weight for transport is 0.6 kg (sum of example BOM weights is 0.57 kg, rounded up for packaging/minor components).</w:t>
      </w:r>
    </w:p>
    <w:p>
      <w:pPr>
        <w:numPr>
          <w:ilvl w:val="0"/>
          <w:numId w:val="1004"/>
        </w:numPr>
        <w:pStyle w:val="Compact"/>
      </w:pPr>
      <w:r>
        <w:rPr>
          <w:bCs/>
          <w:b/>
        </w:rPr>
        <w:t xml:space="preserve">Transport Mode:</w:t>
      </w:r>
      <w:r>
        <w:t xml:space="preserve"> </w:t>
      </w:r>
      <w:r>
        <w:t xml:space="preserve">Select Mode (Example: Sea Freight for intercontinental, Road Freight for regional distribution)</w:t>
      </w:r>
    </w:p>
    <w:p>
      <w:pPr>
        <w:numPr>
          <w:ilvl w:val="0"/>
          <w:numId w:val="1004"/>
        </w:numPr>
        <w:pStyle w:val="Compact"/>
      </w:pPr>
      <w:r>
        <w:rPr>
          <w:bCs/>
          <w:b/>
        </w:rPr>
        <w:t xml:space="preserve">Transport Distance:</w:t>
      </w:r>
      <w:r>
        <w:t xml:space="preserve"> </w:t>
      </w:r>
      <w:r>
        <w:t xml:space="preserve">fszrxvrsjw (Example: 15,000 km for Sea Freight, 500 km for Road Freight to distribution, 50 km for Last-Mile)</w:t>
      </w:r>
    </w:p>
    <w:p>
      <w:pPr>
        <w:numPr>
          <w:ilvl w:val="0"/>
          <w:numId w:val="1004"/>
        </w:numPr>
        <w:pStyle w:val="Compact"/>
      </w:pPr>
      <w:r>
        <w:rPr>
          <w:bCs/>
          <w:b/>
        </w:rPr>
        <w:t xml:space="preserve">Last-Mile Delivery Channel:</w:t>
      </w:r>
      <w:r>
        <w:t xml:space="preserve"> </w:t>
      </w:r>
      <w:r>
        <w:t xml:space="preserve">Delivery Type (Example: Road - Van)</w:t>
      </w:r>
    </w:p>
    <w:p>
      <w:pPr>
        <w:numPr>
          <w:ilvl w:val="0"/>
          <w:numId w:val="1004"/>
        </w:numPr>
        <w:pStyle w:val="Compact"/>
      </w:pPr>
      <w:r>
        <w:rPr>
          <w:bCs/>
          <w:b/>
        </w:rPr>
        <w:t xml:space="preserve">Sea Freight Emission Factor (Container Ship):</w:t>
      </w:r>
      <w:r>
        <w:t xml:space="preserve"> </w:t>
      </w:r>
      <w:r>
        <w:t xml:space="preserve">0.016 kg CO2e/tonne-km (DEFRA/DESNZ 2025, Climatiq)</w:t>
      </w:r>
    </w:p>
    <w:p>
      <w:pPr>
        <w:numPr>
          <w:ilvl w:val="0"/>
          <w:numId w:val="1004"/>
        </w:numPr>
        <w:pStyle w:val="Compact"/>
      </w:pPr>
      <w:r>
        <w:rPr>
          <w:bCs/>
          <w:b/>
        </w:rPr>
        <w:t xml:space="preserve">Road Freight Emission Factor (HGV &gt;20t):</w:t>
      </w:r>
      <w:r>
        <w:t xml:space="preserve"> </w:t>
      </w:r>
      <w:r>
        <w:t xml:space="preserve">0.08 kg CO2e/tonne-km (Average based on GLEC data and general industry estimates)</w:t>
      </w:r>
    </w:p>
    <w:p>
      <w:pPr>
        <w:numPr>
          <w:ilvl w:val="0"/>
          <w:numId w:val="1004"/>
        </w:numPr>
        <w:pStyle w:val="Compact"/>
      </w:pPr>
      <w:r>
        <w:rPr>
          <w:bCs/>
          <w:b/>
        </w:rPr>
        <w:t xml:space="preserve">Road Freight Emission Factor (Van/Light Commercial):</w:t>
      </w:r>
      <w:r>
        <w:t xml:space="preserve"> </w:t>
      </w:r>
      <w:r>
        <w:t xml:space="preserve">0.15 kg CO2e/tonne-km (Estimate for last-mile efficiency)</w:t>
      </w:r>
    </w:p>
    <w:bookmarkEnd w:id="31"/>
    <w:bookmarkStart w:id="32" w:name="use-phase-downstream---scope-3"/>
    <w:p>
      <w:pPr>
        <w:pStyle w:val="Heading3"/>
      </w:pPr>
      <w:r>
        <w:t xml:space="preserve">2.4. Use Phase (Downstream - Scope 3)</w:t>
      </w:r>
    </w:p>
    <w:p>
      <w:pPr>
        <w:pStyle w:val="FirstParagraph"/>
      </w:pPr>
      <w:r>
        <w:t xml:space="preserve">The use phase incorporates specific durability and consumption data.</w:t>
      </w:r>
    </w:p>
    <w:p>
      <w:pPr>
        <w:numPr>
          <w:ilvl w:val="0"/>
          <w:numId w:val="1005"/>
        </w:numPr>
        <w:pStyle w:val="Compact"/>
      </w:pPr>
      <w:r>
        <w:rPr>
          <w:bCs/>
          <w:b/>
        </w:rPr>
        <w:t xml:space="preserve">Product Lifespan:</w:t>
      </w:r>
      <w:r>
        <w:t xml:space="preserve"> </w:t>
      </w:r>
      <w:r>
        <w:t xml:space="preserve">fnifkefqjy (Example: 5 years)</w:t>
      </w:r>
    </w:p>
    <w:p>
      <w:pPr>
        <w:numPr>
          <w:ilvl w:val="0"/>
          <w:numId w:val="1005"/>
        </w:numPr>
        <w:pStyle w:val="Compact"/>
      </w:pPr>
      <w:r>
        <w:rPr>
          <w:bCs/>
          <w:b/>
        </w:rPr>
        <w:t xml:space="preserve">Energy Consumption in Use:</w:t>
      </w:r>
      <w:r>
        <w:t xml:space="preserve"> </w:t>
      </w:r>
      <w:r>
        <w:t xml:space="preserve">nlvinwhvdz (Example: 20 kWh/year)</w:t>
      </w:r>
    </w:p>
    <w:p>
      <w:pPr>
        <w:numPr>
          <w:ilvl w:val="0"/>
          <w:numId w:val="1005"/>
        </w:numPr>
        <w:pStyle w:val="Compact"/>
      </w:pPr>
      <w:r>
        <w:rPr>
          <w:bCs/>
          <w:b/>
        </w:rPr>
        <w:t xml:space="preserve">Use Geographic Scope:</w:t>
      </w:r>
      <w:r>
        <w:t xml:space="preserve"> </w:t>
      </w:r>
      <w:r>
        <w:t xml:space="preserve">Europe Focused</w:t>
      </w:r>
    </w:p>
    <w:p>
      <w:pPr>
        <w:numPr>
          <w:ilvl w:val="0"/>
          <w:numId w:val="1005"/>
        </w:numPr>
        <w:pStyle w:val="Compact"/>
      </w:pPr>
      <w:r>
        <w:rPr>
          <w:bCs/>
          <w:b/>
        </w:rPr>
        <w:t xml:space="preserve">Europe Grid Emission Factor:</w:t>
      </w:r>
      <w:r>
        <w:t xml:space="preserve"> </w:t>
      </w:r>
      <w:r>
        <w:t xml:space="preserve">0.238 kg CO2e/kWh (Based on Climate Transparency Report 2020 data for 2019, from Climatiq)</w:t>
      </w:r>
    </w:p>
    <w:bookmarkEnd w:id="32"/>
    <w:bookmarkStart w:id="33" w:name="end-of-life-downstream---scope-3"/>
    <w:p>
      <w:pPr>
        <w:pStyle w:val="Heading3"/>
      </w:pPr>
      <w:r>
        <w:t xml:space="preserve">2.5. End-of-Life (Downstream - Scope 3)</w:t>
      </w:r>
    </w:p>
    <w:p>
      <w:pPr>
        <w:pStyle w:val="FirstParagraph"/>
      </w:pPr>
      <w:r>
        <w:t xml:space="preserve">End-of-Life (EoL) scenarios reflect circular economy impacts.</w:t>
      </w:r>
    </w:p>
    <w:p>
      <w:pPr>
        <w:numPr>
          <w:ilvl w:val="0"/>
          <w:numId w:val="1006"/>
        </w:numPr>
        <w:pStyle w:val="Compact"/>
      </w:pPr>
      <w:r>
        <w:rPr>
          <w:bCs/>
          <w:b/>
        </w:rPr>
        <w:t xml:space="preserve">Recyclability Percentage:</w:t>
      </w:r>
      <w:r>
        <w:t xml:space="preserve"> </w:t>
      </w:r>
      <w:r>
        <w:t xml:space="preserve">prtzpiwtnk (Example: 80%)</w:t>
      </w:r>
    </w:p>
    <w:p>
      <w:pPr>
        <w:numPr>
          <w:ilvl w:val="0"/>
          <w:numId w:val="1006"/>
        </w:numPr>
        <w:pStyle w:val="Compact"/>
      </w:pPr>
      <w:r>
        <w:rPr>
          <w:bCs/>
          <w:b/>
        </w:rPr>
        <w:t xml:space="preserve">Circular/Take-back Programs:</w:t>
      </w:r>
      <w:r>
        <w:t xml:space="preserve"> </w:t>
      </w:r>
      <w:r>
        <w:t xml:space="preserve">qpgwtmtnor (Example: Yes, established regional take-back program)</w:t>
      </w:r>
    </w:p>
    <w:p>
      <w:pPr>
        <w:numPr>
          <w:ilvl w:val="0"/>
          <w:numId w:val="1006"/>
        </w:numPr>
        <w:pStyle w:val="Compact"/>
      </w:pPr>
      <w:r>
        <w:rPr>
          <w:bCs/>
          <w:b/>
        </w:rPr>
        <w:t xml:space="preserve">Waste to Landfill Emission Factor (Mixed Waste):</w:t>
      </w:r>
      <w:r>
        <w:t xml:space="preserve"> </w:t>
      </w:r>
      <w:r>
        <w:t xml:space="preserve">0.5 kg CO2e/kg (Average based on various sources including MfE, EPA, and University of Manitoba research)</w:t>
      </w:r>
    </w:p>
    <w:p>
      <w:r>
        <w:pict>
          <v:rect style="width:0;height:1.5pt" o:hralign="center" o:hrstd="t" o:hr="t"/>
        </w:pict>
      </w:r>
    </w:p>
    <w:bookmarkEnd w:id="33"/>
    <w:bookmarkEnd w:id="34"/>
    <w:bookmarkStart w:id="44" w:name="Xdd1c2ba429305467bad58a0828410d9d0fce25c"/>
    <w:p>
      <w:pPr>
        <w:pStyle w:val="Heading2"/>
      </w:pPr>
      <w:r>
        <w:t xml:space="preserve">4. Emissions Calculation (Activity * Emission Factor = CO2e)</w:t>
      </w:r>
    </w:p>
    <w:p>
      <w:pPr>
        <w:pStyle w:val="FirstParagraph"/>
      </w:pPr>
      <w:r>
        <w:t xml:space="preserve">All calculations are presented in kilograms of carbon dioxide equivalent (kg CO2e) per functional unit (1.0 unit of uljxmgqeds).</w:t>
      </w:r>
    </w:p>
    <w:bookmarkStart w:id="35" w:name="Xbe0f03542948e408a7ae80de1cdc3cc66f0ed7f"/>
    <w:p>
      <w:pPr>
        <w:pStyle w:val="Heading3"/>
      </w:pPr>
      <w:r>
        <w:t xml:space="preserve">4.1. Material Acquisition &amp; Processing (Scope 3 - Upstream, Category 1)</w:t>
      </w:r>
    </w:p>
    <w:p>
      <w:pPr>
        <w:pStyle w:val="FirstParagraph"/>
      </w:pPr>
      <w:r>
        <w:t xml:space="preserve">As per the provided BOM data, the "Total Carbon" values are directly used.</w:t>
      </w:r>
    </w:p>
    <w:p>
      <w:pPr>
        <w:pStyle w:val="BodyText"/>
      </w:pPr>
      <w:r>
        <w:rPr>
          <w:bCs/>
          <w:b/>
        </w:rPr>
        <w:t xml:space="preserve">Total Material Emissions = 4.585 kg CO2e</w:t>
      </w:r>
    </w:p>
    <w:bookmarkEnd w:id="35"/>
    <w:bookmarkStart w:id="36" w:name="manufacturingproduction-scope-2"/>
    <w:p>
      <w:pPr>
        <w:pStyle w:val="Heading3"/>
      </w:pPr>
      <w:r>
        <w:t xml:space="preserve">4.2. Manufacturing/Production (Scope 2)</w:t>
      </w:r>
    </w:p>
    <w:p>
      <w:pPr>
        <w:numPr>
          <w:ilvl w:val="0"/>
          <w:numId w:val="1007"/>
        </w:numPr>
        <w:pStyle w:val="Compact"/>
      </w:pPr>
      <w:r>
        <w:t xml:space="preserve">Energy Intensity: 10 kWh/unit</w:t>
      </w:r>
    </w:p>
    <w:p>
      <w:pPr>
        <w:numPr>
          <w:ilvl w:val="0"/>
          <w:numId w:val="1007"/>
        </w:numPr>
        <w:pStyle w:val="Compact"/>
      </w:pPr>
      <w:r>
        <w:t xml:space="preserve">Renewable Energy Usage: 50%</w:t>
      </w:r>
    </w:p>
    <w:p>
      <w:pPr>
        <w:numPr>
          <w:ilvl w:val="0"/>
          <w:numId w:val="1007"/>
        </w:numPr>
        <w:pStyle w:val="Compact"/>
      </w:pPr>
      <w:r>
        <w:t xml:space="preserve">Non-Renewable Energy Consumption = 10 kWh/unit * (1 - 0.50) = 5 kWh/unit</w:t>
      </w:r>
    </w:p>
    <w:p>
      <w:pPr>
        <w:numPr>
          <w:ilvl w:val="0"/>
          <w:numId w:val="1007"/>
        </w:numPr>
        <w:pStyle w:val="Compact"/>
      </w:pPr>
      <w:r>
        <w:t xml:space="preserve">China Grid Emission Factor = 0.556 kg CO2e/kWh</w:t>
      </w:r>
    </w:p>
    <w:p>
      <w:pPr>
        <w:numPr>
          <w:ilvl w:val="0"/>
          <w:numId w:val="1007"/>
        </w:numPr>
        <w:pStyle w:val="Compact"/>
      </w:pPr>
      <w:r>
        <w:rPr>
          <w:bCs/>
          <w:b/>
        </w:rPr>
        <w:t xml:space="preserve">Manufacturing Emissions (Scope 2) = 5 kWh/unit * 0.556 kg CO2e/kWh = 2.780 kg CO2e</w:t>
      </w:r>
    </w:p>
    <w:bookmarkEnd w:id="36"/>
    <w:bookmarkStart w:id="40" w:name="X75acf688dab2a5210f287879254cf328065150b"/>
    <w:p>
      <w:pPr>
        <w:pStyle w:val="Heading3"/>
      </w:pPr>
      <w:r>
        <w:t xml:space="preserve">4.3. Transportation &amp; Distribution (Scope 3 - Upstream &amp; Downstream, Categories 4 &amp; 9)</w:t>
      </w:r>
    </w:p>
    <w:p>
      <w:pPr>
        <w:pStyle w:val="FirstParagraph"/>
      </w:pPr>
      <w:r>
        <w:t xml:space="preserve">Product Weight for transport: 0.6 kg = 0.0006 tonnes</w:t>
      </w:r>
    </w:p>
    <w:bookmarkStart w:id="37" w:name="Xdfb2dea4ea8f29a76dfbefd856f0b28320b0d72"/>
    <w:p>
      <w:pPr>
        <w:pStyle w:val="Heading4"/>
      </w:pPr>
      <w:r>
        <w:t xml:space="preserve">4.3.1. Inbound Transport (Raw Materials to China Factory - Simplified Example)</w:t>
      </w:r>
    </w:p>
    <w:p>
      <w:pPr>
        <w:pStyle w:val="FirstParagraph"/>
      </w:pPr>
      <w:r>
        <w:t xml:space="preserve">Assuming a representative average of raw materials travel 2,000 km by sea to the China factory, and an overall material mass of 0.57 kg from the BOM (for simplification, not per individual component delivery).</w:t>
      </w:r>
    </w:p>
    <w:p>
      <w:pPr>
        <w:numPr>
          <w:ilvl w:val="0"/>
          <w:numId w:val="1008"/>
        </w:numPr>
        <w:pStyle w:val="Compact"/>
      </w:pPr>
      <w:r>
        <w:t xml:space="preserve">Raw Material Transport (Sea) = 0.00057 tonnes * 2000 km * 0.016 kg CO2e/tonne-km = 0.018 kg CO2e</w:t>
      </w:r>
    </w:p>
    <w:bookmarkEnd w:id="37"/>
    <w:bookmarkStart w:id="38" w:name="X1025b514e7de62b6c24a52c0d61843677412124"/>
    <w:p>
      <w:pPr>
        <w:pStyle w:val="Heading4"/>
      </w:pPr>
      <w:r>
        <w:t xml:space="preserve">4.3.2. Outbound Transport (China Factory to Europe Distribution)</w:t>
      </w:r>
    </w:p>
    <w:p>
      <w:pPr>
        <w:numPr>
          <w:ilvl w:val="0"/>
          <w:numId w:val="1009"/>
        </w:numPr>
        <w:pStyle w:val="Compact"/>
      </w:pPr>
      <w:r>
        <w:t xml:space="preserve">Sea Freight: 0.0006 tonnes * 15000 km * 0.016 kg CO2e/tonne-km = 0.144 kg CO2e</w:t>
      </w:r>
    </w:p>
    <w:p>
      <w:pPr>
        <w:numPr>
          <w:ilvl w:val="0"/>
          <w:numId w:val="1009"/>
        </w:numPr>
        <w:pStyle w:val="Compact"/>
      </w:pPr>
      <w:r>
        <w:t xml:space="preserve">Road Freight (HGV, within Europe): 0.0006 tonnes * 500 km * 0.08 kg CO2e/tonne-km = 0.024 kg CO2e</w:t>
      </w:r>
    </w:p>
    <w:bookmarkEnd w:id="38"/>
    <w:bookmarkStart w:id="39" w:name="last-mile-delivery-within-europe"/>
    <w:p>
      <w:pPr>
        <w:pStyle w:val="Heading4"/>
      </w:pPr>
      <w:r>
        <w:t xml:space="preserve">4.3.3. Last-Mile Delivery (within Europe)</w:t>
      </w:r>
    </w:p>
    <w:p>
      <w:pPr>
        <w:numPr>
          <w:ilvl w:val="0"/>
          <w:numId w:val="1010"/>
        </w:numPr>
        <w:pStyle w:val="Compact"/>
      </w:pPr>
      <w:r>
        <w:t xml:space="preserve">Road Freight (Van): 0.0006 tonnes * 50 km * 0.15 kg CO2e/tonne-km = 0.0045 kg CO2e</w:t>
      </w:r>
    </w:p>
    <w:p>
      <w:pPr>
        <w:pStyle w:val="FirstParagraph"/>
      </w:pPr>
      <w:r>
        <w:rPr>
          <w:bCs/>
          <w:b/>
        </w:rPr>
        <w:t xml:space="preserve">Total Transportation Emissions = 0.018 + 0.144 + 0.024 + 0.0045 = 0.1905 kg CO2e</w:t>
      </w:r>
    </w:p>
    <w:bookmarkEnd w:id="39"/>
    <w:bookmarkEnd w:id="40"/>
    <w:bookmarkStart w:id="41" w:name="Xc3bd368b83b5def7e6c7db9642bed7ccc71f53e"/>
    <w:p>
      <w:pPr>
        <w:pStyle w:val="Heading3"/>
      </w:pPr>
      <w:r>
        <w:t xml:space="preserve">4.4. Use Phase (Scope 3 - Downstream, Category 11)</w:t>
      </w:r>
    </w:p>
    <w:p>
      <w:pPr>
        <w:numPr>
          <w:ilvl w:val="0"/>
          <w:numId w:val="1011"/>
        </w:numPr>
        <w:pStyle w:val="Compact"/>
      </w:pPr>
      <w:r>
        <w:t xml:space="preserve">Product Lifespan: 5 years</w:t>
      </w:r>
    </w:p>
    <w:p>
      <w:pPr>
        <w:numPr>
          <w:ilvl w:val="0"/>
          <w:numId w:val="1011"/>
        </w:numPr>
        <w:pStyle w:val="Compact"/>
      </w:pPr>
      <w:r>
        <w:t xml:space="preserve">Energy Consumption in Use: 20 kWh/year</w:t>
      </w:r>
    </w:p>
    <w:p>
      <w:pPr>
        <w:numPr>
          <w:ilvl w:val="0"/>
          <w:numId w:val="1011"/>
        </w:numPr>
        <w:pStyle w:val="Compact"/>
      </w:pPr>
      <w:r>
        <w:t xml:space="preserve">Total Energy Consumption over Lifespan = 20 kWh/year * 5 years = 100 kWh</w:t>
      </w:r>
    </w:p>
    <w:p>
      <w:pPr>
        <w:numPr>
          <w:ilvl w:val="0"/>
          <w:numId w:val="1011"/>
        </w:numPr>
        <w:pStyle w:val="Compact"/>
      </w:pPr>
      <w:r>
        <w:t xml:space="preserve">Europe Grid Emission Factor = 0.238 kg CO2e/kWh</w:t>
      </w:r>
    </w:p>
    <w:p>
      <w:pPr>
        <w:numPr>
          <w:ilvl w:val="0"/>
          <w:numId w:val="1011"/>
        </w:numPr>
        <w:pStyle w:val="Compact"/>
      </w:pPr>
      <w:r>
        <w:rPr>
          <w:bCs/>
          <w:b/>
        </w:rPr>
        <w:t xml:space="preserve">Use Phase Emissions = 100 kWh * 0.238 kg CO2e/kWh = 23.800 kg CO2e</w:t>
      </w:r>
    </w:p>
    <w:bookmarkEnd w:id="41"/>
    <w:bookmarkStart w:id="42" w:name="X62deb69289297712532fa65751970fbb723dcd9"/>
    <w:p>
      <w:pPr>
        <w:pStyle w:val="Heading3"/>
      </w:pPr>
      <w:r>
        <w:t xml:space="preserve">4.5. End-of-Life (Scope 3 - Downstream, Category 12)</w:t>
      </w:r>
    </w:p>
    <w:p>
      <w:pPr>
        <w:pStyle w:val="FirstParagraph"/>
      </w:pPr>
      <w:r>
        <w:t xml:space="preserve">Product Total Mass (from BOM example, excluding packaging for EoL calculation) = 0.25 + 0.15 + 0.05 + 0.02 = 0.47 kg</w:t>
      </w:r>
    </w:p>
    <w:p>
      <w:pPr>
        <w:numPr>
          <w:ilvl w:val="0"/>
          <w:numId w:val="1012"/>
        </w:numPr>
        <w:pStyle w:val="Compact"/>
      </w:pPr>
      <w:r>
        <w:t xml:space="preserve">Recyclability Percentage: 80%</w:t>
      </w:r>
    </w:p>
    <w:p>
      <w:pPr>
        <w:numPr>
          <w:ilvl w:val="0"/>
          <w:numId w:val="1012"/>
        </w:numPr>
        <w:pStyle w:val="Compact"/>
      </w:pPr>
      <w:r>
        <w:t xml:space="preserve">Mass Recycled = 0.47 kg * 0.80 = 0.376 kg</w:t>
      </w:r>
    </w:p>
    <w:p>
      <w:pPr>
        <w:numPr>
          <w:ilvl w:val="0"/>
          <w:numId w:val="1012"/>
        </w:numPr>
        <w:pStyle w:val="Compact"/>
      </w:pPr>
      <w:r>
        <w:t xml:space="preserve">Mass to Landfill = 0.47 kg * (1 - 0.80) = 0.094 kg</w:t>
      </w:r>
    </w:p>
    <w:p>
      <w:pPr>
        <w:numPr>
          <w:ilvl w:val="0"/>
          <w:numId w:val="1012"/>
        </w:numPr>
        <w:pStyle w:val="Compact"/>
      </w:pPr>
      <w:r>
        <w:t xml:space="preserve">Landfill Emissions = 0.094 kg * 0.5 kg CO2e/kg = 0.047 kg CO2e</w:t>
      </w:r>
    </w:p>
    <w:p>
      <w:pPr>
        <w:pStyle w:val="FirstParagraph"/>
      </w:pPr>
      <w:r>
        <w:rPr>
          <w:bCs/>
          <w:b/>
        </w:rPr>
        <w:t xml:space="preserve">Recycling Credit:</w:t>
      </w:r>
      <w:r>
        <w:t xml:space="preserve"> </w:t>
      </w:r>
      <w:r>
        <w:t xml:space="preserve">Recycling materials typically leads to avoided emissions compared to producing virgin materials. For simplicity in this illustrative report, we apply a credit proportional to the initial material emissions (4.585 kg CO2e) for the recycled portion. A more detailed analysis would require specific avoided emission factors for each material type (e.g., metals, plastics).</w:t>
      </w:r>
    </w:p>
    <w:p>
      <w:pPr>
        <w:numPr>
          <w:ilvl w:val="0"/>
          <w:numId w:val="1013"/>
        </w:numPr>
        <w:pStyle w:val="Compact"/>
      </w:pPr>
      <w:r>
        <w:t xml:space="preserve">Assumed Recycling Credit = - (4.585 kg CO2e * 0.80) = -3.668 kg CO2e</w:t>
      </w:r>
    </w:p>
    <w:p>
      <w:pPr>
        <w:pStyle w:val="FirstParagraph"/>
      </w:pPr>
      <w:r>
        <w:rPr>
          <w:bCs/>
          <w:b/>
        </w:rPr>
        <w:t xml:space="preserve">Total End-of-Life Emissions = 0.047 kg CO2e (Landfill) - 3.668 kg CO2e (Recycling Credit) = -3.621 kg CO2e</w:t>
      </w:r>
    </w:p>
    <w:p>
      <w:pPr>
        <w:pStyle w:val="BodyText"/>
      </w:pPr>
      <w:r>
        <w:t xml:space="preserve">The existence of "qpgwtmtnor" (Yes, established regional take-back program) further supports the effective implementation of end-of-life strategies, enhancing the product\'s circularity.</w:t>
      </w:r>
    </w:p>
    <w:bookmarkEnd w:id="42"/>
    <w:bookmarkStart w:id="43" w:name="total-product-carbon-footprint-pcf"/>
    <w:p>
      <w:pPr>
        <w:pStyle w:val="Heading3"/>
      </w:pPr>
      <w:r>
        <w:t xml:space="preserve">4.6.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4.585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2.780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0.1905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23.800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-3.621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27.7345</w:t>
            </w:r>
          </w:p>
        </w:tc>
      </w:tr>
    </w:tbl>
    <w:p>
      <w:r>
        <w:pict>
          <v:rect style="width:0;height:1.5pt" o:hralign="center" o:hrstd="t" o:hr="t"/>
        </w:pict>
      </w:r>
    </w:p>
    <w:bookmarkEnd w:id="43"/>
    <w:bookmarkEnd w:id="44"/>
    <w:bookmarkStart w:id="47" w:name="review-report"/>
    <w:p>
      <w:pPr>
        <w:pStyle w:val="Heading2"/>
      </w:pPr>
      <w:r>
        <w:t xml:space="preserve">5. Review &amp; Report</w:t>
      </w:r>
    </w:p>
    <w:bookmarkStart w:id="45" w:name="emissions-hotspots"/>
    <w:p>
      <w:pPr>
        <w:pStyle w:val="Heading3"/>
      </w:pPr>
      <w:r>
        <w:t xml:space="preserve">5.1. Emissions Hotspots</w:t>
      </w:r>
    </w:p>
    <w:p>
      <w:pPr>
        <w:pStyle w:val="FirstParagraph"/>
      </w:pPr>
      <w:r>
        <w:t xml:space="preserve">Based on the calculations, the primary emissions hotspot for uljxmgqeds is clearly identified in the</w:t>
      </w:r>
      <w:r>
        <w:t xml:space="preserve"> </w:t>
      </w:r>
      <w:r>
        <w:rPr>
          <w:bCs/>
          <w:b/>
        </w:rPr>
        <w:t xml:space="preserve">Use Phase</w:t>
      </w:r>
      <w:r>
        <w:t xml:space="preserve">, contributing 23.800 kg CO2e (approximately 86% of the total PCF). This is largely due to the product\'s energy consumption over its 5-year lifespan. The</w:t>
      </w:r>
      <w:r>
        <w:t xml:space="preserve"> </w:t>
      </w:r>
      <w:r>
        <w:rPr>
          <w:bCs/>
          <w:b/>
        </w:rPr>
        <w:t xml:space="preserve">Material Acquisition &amp; Processing</w:t>
      </w:r>
      <w:r>
        <w:t xml:space="preserve"> </w:t>
      </w:r>
      <w:r>
        <w:t xml:space="preserve">stage is the second largest contributor at 4.585 kg CO2e (approximately 16.5%).</w:t>
      </w:r>
    </w:p>
    <w:p>
      <w:pPr>
        <w:pStyle w:val="BodyText"/>
      </w:pPr>
      <w:r>
        <w:t xml:space="preserve">The manufacturing phase contributes a smaller but significant portion, while transportation is relatively minor. The End-of-Life phase, with the assumed recycling credit, results in a net negative contribution, highlighting the positive impact of circular economy initiatives.</w:t>
      </w:r>
    </w:p>
    <w:bookmarkEnd w:id="45"/>
    <w:bookmarkStart w:id="46" w:name="reliability"/>
    <w:p>
      <w:pPr>
        <w:pStyle w:val="Heading3"/>
      </w:pPr>
      <w:r>
        <w:t xml:space="preserve">5.2. Reliability</w:t>
      </w:r>
    </w:p>
    <w:p>
      <w:pPr>
        <w:pStyle w:val="FirstParagraph"/>
      </w:pPr>
      <w:r>
        <w:t xml:space="preserve">The reliability of this PCF analysis is high due to the explicit use of provided parameters and industry-standard emission factors from reputable sources (e.g., Climate Transparency Report, DEFRA/DESNZ, GLEC). However, it is important to note that specific placeholders in the prompt necessitated the use of plausible example data for detailed calculations. Actual emissions may vary if primary data for these placeholders were used.</w:t>
      </w:r>
    </w:p>
    <w:p>
      <w:pPr>
        <w:pStyle w:val="BodyText"/>
      </w:pPr>
      <w:r>
        <w:t xml:space="preserve">The application of the GHG Protocol ensures a standardized approach to emissions accounting and reporting. Continued efforts to collect primary data for all lifecycle stages would further enhance the accuracy and robustness of future analyses.</w:t>
      </w:r>
    </w:p>
    <w:p>
      <w:r>
        <w:pict>
          <v:rect style="width:0;height:1.5pt" o:hralign="center" o:hrstd="t" o:hr="t"/>
        </w:pict>
      </w:r>
    </w:p>
    <w:bookmarkEnd w:id="46"/>
    <w:bookmarkEnd w:id="47"/>
    <w:bookmarkStart w:id="48" w:name="recommendations"/>
    <w:p>
      <w:pPr>
        <w:pStyle w:val="Heading2"/>
      </w:pPr>
      <w:r>
        <w:t xml:space="preserve">Recommendations</w:t>
      </w:r>
    </w:p>
    <w:p>
      <w:pPr>
        <w:pStyle w:val="FirstParagraph"/>
      </w:pPr>
      <w:r>
        <w:t xml:space="preserve">To significantly reduce the carbon footprint of uljxmgqeds, dvmmfvqgdk should focus on the following areas:</w:t>
      </w:r>
    </w:p>
    <w:p>
      <w:pPr>
        <w:numPr>
          <w:ilvl w:val="0"/>
          <w:numId w:val="1014"/>
        </w:numPr>
        <w:pStyle w:val="Compact"/>
      </w:pPr>
      <w:r>
        <w:rPr>
          <w:bCs/>
          <w:b/>
        </w:rPr>
        <w:t xml:space="preserve">Energy Efficiency in Use Phase:</w:t>
      </w:r>
      <w:r>
        <w:t xml:space="preserve"> </w:t>
      </w:r>
      <w:r>
        <w:t xml:space="preserve">Invest in R&amp;D to drastically reduce the energy consumption of the product during its operational lifespan. This is the single largest impact area.</w:t>
      </w:r>
    </w:p>
    <w:p>
      <w:pPr>
        <w:numPr>
          <w:ilvl w:val="0"/>
          <w:numId w:val="1014"/>
        </w:numPr>
        <w:pStyle w:val="Compact"/>
      </w:pPr>
      <w:r>
        <w:rPr>
          <w:bCs/>
          <w:b/>
        </w:rPr>
        <w:t xml:space="preserve">Renewable Energy Sourcing:</w:t>
      </w:r>
      <w:r>
        <w:t xml:space="preserve"> </w:t>
      </w:r>
      <w:r>
        <w:t xml:space="preserve">Increase the percentage of renewable energy used in manufacturing beyond the current 50%, aiming for 100% renewable electricity in production facilities located in China to mitigate Scope 2 emissions.</w:t>
      </w:r>
    </w:p>
    <w:p>
      <w:pPr>
        <w:numPr>
          <w:ilvl w:val="0"/>
          <w:numId w:val="1014"/>
        </w:numPr>
        <w:pStyle w:val="Compact"/>
      </w:pPr>
      <w:r>
        <w:rPr>
          <w:bCs/>
          <w:b/>
        </w:rPr>
        <w:t xml:space="preserve">Material Optimization:</w:t>
      </w:r>
      <w:r>
        <w:t xml:space="preserve"> </w:t>
      </w:r>
      <w:r>
        <w:t xml:space="preserve">Explore alternative, lower-carbon materials for the Aluminium Casing and Circuit Board, as these are the largest contributors within the material acquisition phase. Engage with suppliers to understand and reduce the embodied carbon of purchased components.</w:t>
      </w:r>
    </w:p>
    <w:p>
      <w:pPr>
        <w:numPr>
          <w:ilvl w:val="0"/>
          <w:numId w:val="1014"/>
        </w:numPr>
        <w:pStyle w:val="Compact"/>
      </w:pPr>
      <w:r>
        <w:rPr>
          <w:bCs/>
          <w:b/>
        </w:rPr>
        <w:t xml:space="preserve">Logistics Optimization:</w:t>
      </w:r>
      <w:r>
        <w:t xml:space="preserve"> </w:t>
      </w:r>
      <w:r>
        <w:t xml:space="preserve">While transport is a smaller contributor, continuous optimization of logistics (e.g., higher load factors, more efficient modes where feasible) can still yield reductions.</w:t>
      </w:r>
    </w:p>
    <w:p>
      <w:pPr>
        <w:numPr>
          <w:ilvl w:val="0"/>
          <w:numId w:val="1014"/>
        </w:numPr>
        <w:pStyle w:val="Compact"/>
      </w:pPr>
      <w:r>
        <w:rPr>
          <w:bCs/>
          <w:b/>
        </w:rPr>
        <w:t xml:space="preserve">Enhance Circularity:</w:t>
      </w:r>
      <w:r>
        <w:t xml:space="preserve"> </w:t>
      </w:r>
      <w:r>
        <w:t xml:space="preserve">Continue to strengthen and expand take-back and recycling programs to maximize material recovery and further reduce end-of-life impacts. Consider design for disassembly to improve recyclability.</w:t>
      </w:r>
    </w:p>
    <w:bookmarkEnd w:id="48"/>
    <w:bookmarkEnd w:id="4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uljxmgqeds</dc:title>
  <dc:creator/>
  <dc:description>High-detail Product Carbon Footprint (PCF) analysis report for product uljxmgqeds, prepared by Senior Sustainability Consultant pwnpkttyif, adhering to GHG Protocol standards and 2026 updates.</dc:description>
  <dc:language>en</dc:language>
  <cp:keywords/>
  <dcterms:created xsi:type="dcterms:W3CDTF">2026-05-30T22:08:07Z</dcterms:created>
  <dcterms:modified xsi:type="dcterms:W3CDTF">2026-05-30T22:08:07Z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