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ukwwnytldt</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ukwwnytldt"/>
    <w:p>
      <w:pPr>
        <w:pStyle w:val="Heading2"/>
      </w:pPr>
      <w:r>
        <w:t xml:space="preserve">For Product: ukwwnytldt</w:t>
      </w:r>
    </w:p>
    <w:p>
      <w:pPr>
        <w:pStyle w:val="FirstParagraph"/>
      </w:pPr>
      <w:r>
        <w:rPr>
          <w:bCs/>
          <w:b/>
        </w:rPr>
        <w:t xml:space="preserve">Company Name:</w:t>
      </w:r>
      <w:r>
        <w:t xml:space="preserve"> </w:t>
      </w:r>
      <w:r>
        <w:t xml:space="preserve">jwyvwvysel</w:t>
      </w:r>
    </w:p>
    <w:p>
      <w:pPr>
        <w:pStyle w:val="BodyText"/>
      </w:pPr>
      <w:r>
        <w:rPr>
          <w:bCs/>
          <w:b/>
        </w:rPr>
        <w:t xml:space="preserve">Senior Sustainability Consultant:</w:t>
      </w:r>
      <w:r>
        <w:t xml:space="preserve"> </w:t>
      </w:r>
      <w:r>
        <w:t xml:space="preserve">yhwjjtlgwq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specific inputs and assumptions may influence the final results. This document is intended for internal informational purposes and strategic planning.</w:t>
      </w:r>
    </w:p>
    <w:bookmarkEnd w:id="20"/>
    <w:bookmarkEnd w:id="21"/>
    <w:bookmarkStart w:id="22" w:name="product-carbon-footprint-analysis"/>
    <w:p>
      <w:pPr>
        <w:pStyle w:val="Heading1"/>
      </w:pPr>
      <w:r>
        <w:t xml:space="preserve">Product Carbon Footprint Analysis</w:t>
      </w:r>
    </w:p>
    <w:p>
      <w:pPr>
        <w:pStyle w:val="FirstParagraph"/>
      </w:pPr>
      <w:r>
        <w:rPr>
          <w:bCs/>
          <w:b/>
        </w:rPr>
        <w:t xml:space="preserve">Product:</w:t>
      </w:r>
      <w:r>
        <w:t xml:space="preserve"> </w:t>
      </w:r>
      <w:r>
        <w:t xml:space="preserve">ukwwnytldt</w:t>
      </w:r>
    </w:p>
    <w:p>
      <w:pPr>
        <w:pStyle w:val="BodyText"/>
      </w:pPr>
      <w:r>
        <w:rPr>
          <w:bCs/>
          <w:b/>
        </w:rPr>
        <w:t xml:space="preserve">Generated Date:</w:t>
      </w:r>
      <w:r>
        <w:t xml:space="preserve"> </w:t>
      </w:r>
      <w:r>
        <w:t xml:space="preserve">May 27,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detailed Product Carbon Footprint (PCF) analysis for \'ukwwnytldt\', manufactured by \'jwyvwvysel\'. The assessment was conducted by \'yhwjjtlgwq\', a Senior Sustainability Consultant specializing in the GHG Protocol, to quantify the greenhouse gas (GHG) emissions associated with the product\'s lifecycle. Adhering strictly to the GHG Protocol standards, including the 2026 Land Sector and Removals (LSR) update and ensuring over 95% Scope 3 coverage, this analysis identifies key emission hotspots across material sourcing, manufacturing, transportation, use phase, and end-of-life. The total carbon footprint for \'ukwwnytldt\' (based on a functional unit of 1.0 unit) is presented, along with strategic recommendations for emission reduction.</w:t>
      </w:r>
    </w:p>
    <w:bookmarkEnd w:id="23"/>
    <w:p>
      <w:r>
        <w:pict>
          <v:rect style="width:0;height:1.5pt" o:hralign="center" o:hrstd="t" o:hr="t"/>
        </w:pict>
      </w:r>
    </w:p>
    <w:bookmarkStart w:id="24" w:name="define-scope"/>
    <w:p>
      <w:pPr>
        <w:pStyle w:val="Heading2"/>
      </w:pPr>
      <w:r>
        <w:t xml:space="preserve">1. Define Scope</w:t>
      </w:r>
    </w:p>
    <w:p>
      <w:pPr>
        <w:pStyle w:val="FirstParagraph"/>
      </w:pPr>
      <w:r>
        <w:t xml:space="preserve">The scope definition is crucial for establishing the boundaries and assumptions of the Product Carbon Footprint analysis for \'ukwwnytldt\'.</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w:t>
      </w:r>
      <w:r>
        <w:t xml:space="preserve"> </w:t>
      </w:r>
      <w:r>
        <w:t xml:space="preserve">of \'ukwwnytldt\'. All emissions are normalized to this unit, allowing for comparison and tracking of environmental performance.</w:t>
      </w:r>
    </w:p>
    <w:p>
      <w:pPr>
        <w:numPr>
          <w:ilvl w:val="0"/>
          <w:numId w:val="1001"/>
        </w:numPr>
        <w:pStyle w:val="Compact"/>
      </w:pPr>
      <w:r>
        <w:rPr>
          <w:bCs/>
          <w:b/>
        </w:rPr>
        <w:t xml:space="preserve">System Boundary:</w:t>
      </w:r>
      <w:r>
        <w:t xml:space="preserve"> </w:t>
      </w:r>
      <w:r>
        <w:t xml:space="preserve">The primary system boundary for direct manufacturing emissions is set as</w:t>
      </w:r>
      <w:r>
        <w:t xml:space="preserve"> </w:t>
      </w:r>
      <w:r>
        <w:rPr>
          <w:bCs/>
          <w:b/>
        </w:rPr>
        <w:t xml:space="preserve">factory_gate</w:t>
      </w:r>
      <w:r>
        <w:t xml:space="preserve">. However, in accordance with the GHG Protocol Product Standard and the requirement for comprehensive Scope 3 coverage, the analysis extends to a \'cradle-to-grave\' approach, encompassing raw material extraction, manufacturing, distribution, the use phase,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significant material sourcing and/or distribution within Europe).</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specifically the Product Life Cycle Accounting and Reporting Standard. Emissions are categorized into Scope 1 (direct emissions from owned or controlled sources), Scope 2 (indirect emissions from the generation of purchased energy), and Scope 3 (all other indirect emissions that occur in a company’s value chain). Furthermore, the analysis incorporates considerations from the 2026 Land Sector and Removals (LSR) Standard for land use impacts and carbon removals, acknowledging that specific data on these aspects may require further investigation.</w:t>
      </w:r>
    </w:p>
    <w:p>
      <w:pPr>
        <w:numPr>
          <w:ilvl w:val="0"/>
          <w:numId w:val="1001"/>
        </w:numPr>
        <w:pStyle w:val="Compact"/>
      </w:pPr>
      <w:r>
        <w:rPr>
          <w:bCs/>
          <w:b/>
        </w:rPr>
        <w:t xml:space="preserve">Allocation:</w:t>
      </w:r>
      <w:r>
        <w:t xml:space="preserve"> </w:t>
      </w:r>
      <w:r>
        <w:t xml:space="preserve">Where co-products or by-products exist, allocation is performed based on established GHG Protocol guidelines, typically through physical allocation (e.g., mass, energy content) or economic allocation, ensuring that environmental burdens are fairly distributed.</w:t>
      </w:r>
    </w:p>
    <w:bookmarkEnd w:id="24"/>
    <w:p>
      <w:r>
        <w:pict>
          <v:rect style="width:0;height:1.5pt" o:hralign="center" o:hrstd="t" o:hr="t"/>
        </w:pict>
      </w:r>
    </w:p>
    <w:bookmarkStart w:id="30" w:name="X9b3f95e3515408304ff4a9cec9842f2424d7a20"/>
    <w:p>
      <w:pPr>
        <w:pStyle w:val="Heading2"/>
      </w:pPr>
      <w:r>
        <w:t xml:space="preserve">2. Map Lifecycle (LCI Inventory Stages) &amp; 3. Collect Data (Primary/Secondary Data Points)</w:t>
      </w:r>
    </w:p>
    <w:p>
      <w:pPr>
        <w:pStyle w:val="FirstParagraph"/>
      </w:pPr>
      <w:r>
        <w:t xml:space="preserve">The lifecycle of \'ukwwnytldt\' has been mapped to identify all relevant stages contributing to its carbon footprint. Data collection involved utilizing both primary data specific to \'jwyvwvysel\' and secondary, industry-standard emission factors where primary data was unavailable.</w:t>
      </w:r>
    </w:p>
    <w:bookmarkStart w:id="25" w:name="X34efe27acfb2d534990719f6cb2dec6ab889c56"/>
    <w:p>
      <w:pPr>
        <w:pStyle w:val="Heading3"/>
      </w:pPr>
      <w:r>
        <w:t xml:space="preserve">Detailed Bill of Materials (BOM) Analysis (gkdiohsk)</w:t>
      </w:r>
    </w:p>
    <w:p>
      <w:pPr>
        <w:pStyle w:val="FirstParagraph"/>
      </w:pPr>
      <w:r>
        <w:t xml:space="preserve">The following Bill of Materials (BOM) provides a high-detail breakdown of materials used in \'ukwwnytldt\'. The emission factors and total carbon values provided were used directly for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Extrusion &amp; Machining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MAT002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2.8</w:t>
            </w:r>
          </w:p>
        </w:tc>
        <w:tc>
          <w:tcPr/>
          <w:p>
            <w:pPr>
              <w:pStyle w:val="Compact"/>
              <w:jc w:val="left"/>
            </w:pPr>
            <w:r>
              <w:t xml:space="preserve">0.84</w:t>
            </w:r>
          </w:p>
        </w:tc>
      </w:tr>
      <w:tr>
        <w:tc>
          <w:tcPr/>
          <w:p>
            <w:pPr>
              <w:pStyle w:val="Compact"/>
              <w:jc w:val="left"/>
            </w:pPr>
            <w:r>
              <w:t xml:space="preserve">MAT003</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MAT006</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bl>
    <w:bookmarkEnd w:id="25"/>
    <w:bookmarkStart w:id="26" w:name="energy-inputs-production-phase"/>
    <w:p>
      <w:pPr>
        <w:pStyle w:val="Heading3"/>
      </w:pPr>
      <w:r>
        <w:t xml:space="preserve">Energy Inputs (Production Phase)</w:t>
      </w:r>
    </w:p>
    <w:p>
      <w:pPr>
        <w:numPr>
          <w:ilvl w:val="0"/>
          <w:numId w:val="1003"/>
        </w:numPr>
        <w:pStyle w:val="Compact"/>
      </w:pPr>
      <w:r>
        <w:rPr>
          <w:bCs/>
          <w:b/>
        </w:rPr>
        <w:t xml:space="preserve">Energy Intensity (kWh/unit):</w:t>
      </w:r>
      <w:r>
        <w:t xml:space="preserve"> </w:t>
      </w:r>
      <w:r>
        <w:t xml:space="preserve">pkndqnhmqn (e.g., 0.8 kWh/unit)</w:t>
      </w:r>
    </w:p>
    <w:p>
      <w:pPr>
        <w:numPr>
          <w:ilvl w:val="0"/>
          <w:numId w:val="1003"/>
        </w:numPr>
        <w:pStyle w:val="Compact"/>
      </w:pPr>
      <w:r>
        <w:rPr>
          <w:bCs/>
          <w:b/>
        </w:rPr>
        <w:t xml:space="preserve">Renewable Energy Usage:</w:t>
      </w:r>
      <w:r>
        <w:t xml:space="preserve"> </w:t>
      </w:r>
      <w:r>
        <w:t xml:space="preserve">uiyoupzsej (e.g., 50%)</w:t>
      </w:r>
    </w:p>
    <w:p>
      <w:pPr>
        <w:numPr>
          <w:ilvl w:val="0"/>
          <w:numId w:val="1003"/>
        </w:numPr>
        <w:pStyle w:val="Compact"/>
      </w:pPr>
      <w:r>
        <w:rPr>
          <w:bCs/>
          <w:b/>
        </w:rPr>
        <w:t xml:space="preserve">Assumption for Grid Emission Factor (China):</w:t>
      </w:r>
      <w:r>
        <w:t xml:space="preserve"> </w:t>
      </w:r>
      <w:r>
        <w:t xml:space="preserve">A representative emission factor for electricity generation in China is assumed to be 0.6 kg CO2e/kWh for non-renewable portions, based on common industry datasets.</w:t>
      </w:r>
    </w:p>
    <w:bookmarkEnd w:id="26"/>
    <w:bookmarkStart w:id="27" w:name="logistics-data-transport-delivery"/>
    <w:p>
      <w:pPr>
        <w:pStyle w:val="Heading3"/>
      </w:pPr>
      <w:r>
        <w:t xml:space="preserve">Logistics Data (Transport &amp; Delivery)</w:t>
      </w:r>
    </w:p>
    <w:p>
      <w:pPr>
        <w:numPr>
          <w:ilvl w:val="0"/>
          <w:numId w:val="1004"/>
        </w:numPr>
        <w:pStyle w:val="Compact"/>
      </w:pPr>
      <w:r>
        <w:rPr>
          <w:bCs/>
          <w:b/>
        </w:rPr>
        <w:t xml:space="preserve">Primary Transport Mode:</w:t>
      </w:r>
      <w:r>
        <w:t xml:space="preserve"> </w:t>
      </w:r>
      <w:r>
        <w:t xml:space="preserve">Select Mode (e.g., Ocean Freight, Container Ship)</w:t>
      </w:r>
    </w:p>
    <w:p>
      <w:pPr>
        <w:numPr>
          <w:ilvl w:val="0"/>
          <w:numId w:val="1004"/>
        </w:numPr>
        <w:pStyle w:val="Compact"/>
      </w:pPr>
      <w:r>
        <w:rPr>
          <w:bCs/>
          <w:b/>
        </w:rPr>
        <w:t xml:space="preserve">Primary Transport Distance:</w:t>
      </w:r>
      <w:r>
        <w:t xml:space="preserve"> </w:t>
      </w:r>
      <w:r>
        <w:t xml:space="preserve">xspgeuxplh (e.g., 15,000 km, representing transport from China to Europe)</w:t>
      </w:r>
    </w:p>
    <w:p>
      <w:pPr>
        <w:numPr>
          <w:ilvl w:val="0"/>
          <w:numId w:val="1004"/>
        </w:numPr>
        <w:pStyle w:val="Compact"/>
      </w:pPr>
      <w:r>
        <w:rPr>
          <w:bCs/>
          <w:b/>
        </w:rPr>
        <w:t xml:space="preserve">Last-Mile Delivery Channel:</w:t>
      </w:r>
      <w:r>
        <w:t xml:space="preserve"> </w:t>
      </w:r>
      <w:r>
        <w:t xml:space="preserve">Delivery Type (e.g., Road Freight, Heavy Goods Vehicle)</w:t>
      </w:r>
    </w:p>
    <w:p>
      <w:pPr>
        <w:numPr>
          <w:ilvl w:val="0"/>
          <w:numId w:val="1004"/>
        </w:numPr>
        <w:pStyle w:val="Compact"/>
      </w:pPr>
      <w:r>
        <w:rPr>
          <w:bCs/>
          <w:b/>
        </w:rPr>
        <w:t xml:space="preserve">Assumption for Transport Emission Factors:</w:t>
      </w:r>
    </w:p>
    <w:p>
      <w:pPr>
        <w:numPr>
          <w:ilvl w:val="1"/>
          <w:numId w:val="1005"/>
        </w:numPr>
        <w:pStyle w:val="Compact"/>
      </w:pPr>
      <w:r>
        <w:t xml:space="preserve">Ocean Freight (Container Ship): ~0.01 kg CO2e/tonne-km (illustrative)</w:t>
      </w:r>
    </w:p>
    <w:p>
      <w:pPr>
        <w:numPr>
          <w:ilvl w:val="1"/>
          <w:numId w:val="1005"/>
        </w:numPr>
        <w:pStyle w:val="Compact"/>
      </w:pPr>
      <w:r>
        <w:t xml:space="preserve">Road Freight (Heavy Goods Vehicle): ~0.08 kg CO2e/tonne-km (illustrative)</w:t>
      </w:r>
    </w:p>
    <w:p>
      <w:pPr>
        <w:numPr>
          <w:ilvl w:val="0"/>
          <w:numId w:val="1000"/>
        </w:numPr>
        <w:pStyle w:val="Compact"/>
      </w:pPr>
      <w:r>
        <w:t xml:space="preserve">(Note: Actual emissions depend on cargo weight; for simplicity, we assume \'ukwwnytldt\' unit weight allows for direct per-unit calculation based on assumed total shipment weight, or use a simplified per-unit factor if weight not specified).</w:t>
      </w:r>
    </w:p>
    <w:bookmarkEnd w:id="27"/>
    <w:bookmarkStart w:id="28" w:name="product-use-phase-data"/>
    <w:p>
      <w:pPr>
        <w:pStyle w:val="Heading3"/>
      </w:pPr>
      <w:r>
        <w:t xml:space="preserve">Product Use Phase Data</w:t>
      </w:r>
    </w:p>
    <w:p>
      <w:pPr>
        <w:numPr>
          <w:ilvl w:val="0"/>
          <w:numId w:val="1006"/>
        </w:numPr>
        <w:pStyle w:val="Compact"/>
      </w:pPr>
      <w:r>
        <w:rPr>
          <w:bCs/>
          <w:b/>
        </w:rPr>
        <w:t xml:space="preserve">Product Lifespan:</w:t>
      </w:r>
      <w:r>
        <w:t xml:space="preserve"> </w:t>
      </w:r>
      <w:r>
        <w:t xml:space="preserve">zpkjtpzydt (e.g., 5 years)</w:t>
      </w:r>
    </w:p>
    <w:p>
      <w:pPr>
        <w:numPr>
          <w:ilvl w:val="0"/>
          <w:numId w:val="1006"/>
        </w:numPr>
        <w:pStyle w:val="Compact"/>
      </w:pPr>
      <w:r>
        <w:rPr>
          <w:bCs/>
          <w:b/>
        </w:rPr>
        <w:t xml:space="preserve">Energy Consumption in Use:</w:t>
      </w:r>
      <w:r>
        <w:t xml:space="preserve"> </w:t>
      </w:r>
      <w:r>
        <w:t xml:space="preserve">jzlhipsdks (e.g., 10 kWh/year)</w:t>
      </w:r>
    </w:p>
    <w:p>
      <w:pPr>
        <w:numPr>
          <w:ilvl w:val="0"/>
          <w:numId w:val="1006"/>
        </w:numPr>
        <w:pStyle w:val="Compact"/>
      </w:pPr>
      <w:r>
        <w:rPr>
          <w:bCs/>
          <w:b/>
        </w:rPr>
        <w:t xml:space="preserve">Assumption for Use Phase Grid Emission Factor (Europe Focused):</w:t>
      </w:r>
      <w:r>
        <w:t xml:space="preserve"> </w:t>
      </w:r>
      <w:r>
        <w:t xml:space="preserve">A blended European grid emission factor of 0.25 kg CO2e/kWh is used for the use phase, reflecting the geographic scope\'s focus on Europe for consumption.</w:t>
      </w:r>
    </w:p>
    <w:bookmarkEnd w:id="28"/>
    <w:bookmarkStart w:id="29" w:name="end-of-life-eol-data"/>
    <w:p>
      <w:pPr>
        <w:pStyle w:val="Heading3"/>
      </w:pPr>
      <w:r>
        <w:t xml:space="preserve">End-of-Life (EoL) Data</w:t>
      </w:r>
    </w:p>
    <w:p>
      <w:pPr>
        <w:numPr>
          <w:ilvl w:val="0"/>
          <w:numId w:val="1007"/>
        </w:numPr>
        <w:pStyle w:val="Compact"/>
      </w:pPr>
      <w:r>
        <w:rPr>
          <w:bCs/>
          <w:b/>
        </w:rPr>
        <w:t xml:space="preserve">Recyclability Percentage:</w:t>
      </w:r>
      <w:r>
        <w:t xml:space="preserve"> </w:t>
      </w:r>
      <w:r>
        <w:t xml:space="preserve">hfsuzwlrqf (e.g., 70%)</w:t>
      </w:r>
    </w:p>
    <w:p>
      <w:pPr>
        <w:numPr>
          <w:ilvl w:val="0"/>
          <w:numId w:val="1007"/>
        </w:numPr>
        <w:pStyle w:val="Compact"/>
      </w:pPr>
      <w:r>
        <w:rPr>
          <w:bCs/>
          <w:b/>
        </w:rPr>
        <w:t xml:space="preserve">Circular/Take-back Programs:</w:t>
      </w:r>
      <w:r>
        <w:t xml:space="preserve"> </w:t>
      </w:r>
      <w:r>
        <w:t xml:space="preserve">updewuyzie (e.g., "Established take-back program for key components")</w:t>
      </w:r>
    </w:p>
    <w:p>
      <w:pPr>
        <w:numPr>
          <w:ilvl w:val="0"/>
          <w:numId w:val="1007"/>
        </w:numPr>
        <w:pStyle w:val="Compact"/>
      </w:pPr>
      <w:r>
        <w:rPr>
          <w:bCs/>
          <w:b/>
        </w:rPr>
        <w:t xml:space="preserve">Assumption for Waste Treatment Emission Factors:</w:t>
      </w:r>
    </w:p>
    <w:p>
      <w:pPr>
        <w:numPr>
          <w:ilvl w:val="1"/>
          <w:numId w:val="1008"/>
        </w:numPr>
        <w:pStyle w:val="Compact"/>
      </w:pPr>
      <w:r>
        <w:t xml:space="preserve">Landfilling: ~0.1 kg CO2e/kg (illustrative)</w:t>
      </w:r>
    </w:p>
    <w:p>
      <w:pPr>
        <w:numPr>
          <w:ilvl w:val="1"/>
          <w:numId w:val="1008"/>
        </w:numPr>
        <w:pStyle w:val="Compact"/>
      </w:pPr>
      <w:r>
        <w:t xml:space="preserve">Recycling: Assumed to offset emissions from virgin material production, with net emissions near zero or negative (credit).</w:t>
      </w:r>
    </w:p>
    <w:bookmarkEnd w:id="29"/>
    <w:bookmarkEnd w:id="30"/>
    <w:p>
      <w:r>
        <w:pict>
          <v:rect style="width:0;height:1.5pt" o:hralign="center" o:hrstd="t" o:hr="t"/>
        </w:pict>
      </w:r>
    </w:p>
    <w:bookmarkStart w:id="33" w:name="calculate-emissions"/>
    <w:p>
      <w:pPr>
        <w:pStyle w:val="Heading2"/>
      </w:pPr>
      <w:r>
        <w:t xml:space="preserve">4. Calculate Emissions</w:t>
      </w:r>
    </w:p>
    <w:p>
      <w:pPr>
        <w:pStyle w:val="FirstParagraph"/>
      </w:pPr>
      <w:r>
        <w:t xml:space="preserve">Emissions are calculated by multiplying activity data by relevant emission factors. The results are categorized according to the GHG Protocol\'s Scope 1, Scope 2, and Scope 3 definitions. Illustrative emission factors (e.g., from Ecoinvent/DEFRA equivalents) are used for categories where specific values were not provided or needed to be contextualized.</w:t>
      </w:r>
    </w:p>
    <w:bookmarkStart w:id="31" w:name="Xe73021dbfddb5880cc1be1c3b610ea30e66674b"/>
    <w:p>
      <w:pPr>
        <w:pStyle w:val="Heading3"/>
      </w:pPr>
      <w:r>
        <w:t xml:space="preserve">Total Product Carbon Footprint (PCF) for ukwwnytldt (per 1.0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CO2e (kg) per unit</w:t>
            </w:r>
          </w:p>
        </w:tc>
      </w:tr>
      <w:tr>
        <w:tc>
          <w:tcPr>
            <w:gridSpan w:val="3"/>
          </w:tcPr>
          <w:p>
            <w:pPr>
              <w:pStyle w:val="Compact"/>
              <w:jc w:val="left"/>
            </w:pPr>
            <w:r>
              <w:t xml:space="preserve">Scope 1: Direct Emissions</w:t>
            </w:r>
          </w:p>
        </w:tc>
      </w:tr>
      <w:tr>
        <w:tc>
          <w:tcPr/>
          <w:p>
            <w:pPr>
              <w:pStyle w:val="Compact"/>
              <w:jc w:val="left"/>
            </w:pPr>
            <w:r>
              <w:t xml:space="preserve">Direct Manufacturing Emissions (e.g., owned vehicle fleets, on-site fuel combustion for processes not covered by purchased electricity)</w:t>
            </w:r>
          </w:p>
        </w:tc>
        <w:tc>
          <w:tcPr/>
          <w:p>
            <w:pPr>
              <w:pStyle w:val="Compact"/>
              <w:jc w:val="left"/>
            </w:pPr>
            <w:r>
              <w:t xml:space="preserve">Scope 1</w:t>
            </w:r>
          </w:p>
        </w:tc>
        <w:tc>
          <w:tcPr/>
          <w:p>
            <w:pPr>
              <w:pStyle w:val="Compact"/>
              <w:jc w:val="left"/>
            </w:pPr>
            <w:r>
              <w:t xml:space="preserve">0.05 (Illustrative, assuming minor direct fuel use)</w:t>
            </w:r>
          </w:p>
        </w:tc>
      </w:tr>
      <w:tr>
        <w:tc>
          <w:tcPr>
            <w:gridSpan w:val="3"/>
          </w:tcPr>
          <w:p>
            <w:pPr>
              <w:pStyle w:val="Compact"/>
              <w:jc w:val="left"/>
            </w:pPr>
            <w:r>
              <w:t xml:space="preserve">Scope 2: Purchased Energy Emissions</w:t>
            </w:r>
          </w:p>
        </w:tc>
      </w:tr>
      <w:tr>
        <w:tc>
          <w:tcPr/>
          <w:p>
            <w:pPr>
              <w:pStyle w:val="Compact"/>
              <w:jc w:val="left"/>
            </w:pPr>
            <w:r>
              <w:t xml:space="preserve">Electricity for Manufacturing (pkndqnhmqn = 0.8 kWh/unit, uiyoupzsej = 50% renewable, China grid EF = 0.6 kg CO2e/kWh)</w:t>
            </w:r>
          </w:p>
        </w:tc>
        <w:tc>
          <w:tcPr/>
          <w:p>
            <w:pPr>
              <w:pStyle w:val="Compact"/>
              <w:jc w:val="left"/>
            </w:pPr>
            <w:r>
              <w:t xml:space="preserve">Scope 2</w:t>
            </w:r>
          </w:p>
        </w:tc>
        <w:tc>
          <w:tcPr/>
          <w:p>
            <w:pPr>
              <w:pStyle w:val="Compact"/>
              <w:jc w:val="left"/>
            </w:pPr>
            <w:r>
              <w:t xml:space="preserve">0.24</w:t>
            </w:r>
          </w:p>
        </w:tc>
      </w:tr>
      <w:tr>
        <w:tc>
          <w:tcPr>
            <w:gridSpan w:val="3"/>
          </w:tcPr>
          <w:p>
            <w:pPr>
              <w:pStyle w:val="Compact"/>
              <w:jc w:val="left"/>
            </w:pPr>
            <w:r>
              <w:t xml:space="preserve">Scope 3: Value Chain Emissions</w:t>
            </w:r>
          </w:p>
        </w:tc>
      </w:tr>
      <w:tr>
        <w:tc>
          <w:tcPr/>
          <w:p>
            <w:pPr>
              <w:pStyle w:val="Compact"/>
              <w:jc w:val="left"/>
            </w:pPr>
            <w:r>
              <w:rPr>
                <w:bCs/>
                <w:b/>
              </w:rPr>
              <w:t xml:space="preserve">Materials (Upstream – Category 1: Purchased Goods and Services)</w:t>
            </w:r>
          </w:p>
        </w:tc>
        <w:tc>
          <w:tcPr/>
          <w:p>
            <w:pPr>
              <w:pStyle w:val="Compact"/>
              <w:jc w:val="left"/>
            </w:pPr>
            <w:r>
              <w:t xml:space="preserve">Scope 3</w:t>
            </w:r>
          </w:p>
        </w:tc>
        <w:tc>
          <w:tcPr/>
          <w:p>
            <w:pPr>
              <w:pStyle w:val="Compact"/>
            </w:pPr>
          </w:p>
        </w:tc>
      </w:tr>
      <w:tr>
        <w:tc>
          <w:tcPr/>
          <w:p>
            <w:pPr>
              <w:pStyle w:val="Compact"/>
              <w:jc w:val="left"/>
            </w:pPr>
            <w:r>
              <w:t xml:space="preserve">- Aluminum Alloy Casing</w:t>
            </w:r>
          </w:p>
        </w:tc>
        <w:tc>
          <w:tcPr/>
          <w:p>
            <w:pPr>
              <w:pStyle w:val="Compact"/>
              <w:jc w:val="left"/>
            </w:pPr>
            <w:r>
              <w:t xml:space="preserve">Scope 3</w:t>
            </w:r>
          </w:p>
        </w:tc>
        <w:tc>
          <w:tcPr/>
          <w:p>
            <w:pPr>
              <w:pStyle w:val="Compact"/>
              <w:jc w:val="left"/>
            </w:pPr>
            <w:r>
              <w:t xml:space="preserve">6.00</w:t>
            </w:r>
          </w:p>
        </w:tc>
      </w:tr>
      <w:tr>
        <w:tc>
          <w:tcPr/>
          <w:p>
            <w:pPr>
              <w:pStyle w:val="Compact"/>
              <w:jc w:val="left"/>
            </w:pPr>
            <w:r>
              <w:t xml:space="preserve">- ABS Plastic Components</w:t>
            </w:r>
          </w:p>
        </w:tc>
        <w:tc>
          <w:tcPr/>
          <w:p>
            <w:pPr>
              <w:pStyle w:val="Compact"/>
              <w:jc w:val="left"/>
            </w:pPr>
            <w:r>
              <w:t xml:space="preserve">Scope 3</w:t>
            </w:r>
          </w:p>
        </w:tc>
        <w:tc>
          <w:tcPr/>
          <w:p>
            <w:pPr>
              <w:pStyle w:val="Compact"/>
              <w:jc w:val="left"/>
            </w:pPr>
            <w:r>
              <w:t xml:space="preserve">0.84</w:t>
            </w:r>
          </w:p>
        </w:tc>
      </w:tr>
      <w:tr>
        <w:tc>
          <w:tcPr/>
          <w:p>
            <w:pPr>
              <w:pStyle w:val="Compact"/>
              <w:jc w:val="left"/>
            </w:pPr>
            <w:r>
              <w:t xml:space="preserve">- Silicon Microchip</w:t>
            </w:r>
          </w:p>
        </w:tc>
        <w:tc>
          <w:tcPr/>
          <w:p>
            <w:pPr>
              <w:pStyle w:val="Compact"/>
              <w:jc w:val="left"/>
            </w:pPr>
            <w:r>
              <w:t xml:space="preserve">Scope 3</w:t>
            </w:r>
          </w:p>
        </w:tc>
        <w:tc>
          <w:tcPr/>
          <w:p>
            <w:pPr>
              <w:pStyle w:val="Compact"/>
              <w:jc w:val="left"/>
            </w:pPr>
            <w:r>
              <w:t xml:space="preserve">0.75</w:t>
            </w:r>
          </w:p>
        </w:tc>
      </w:tr>
      <w:tr>
        <w:tc>
          <w:tcPr/>
          <w:p>
            <w:pPr>
              <w:pStyle w:val="Compact"/>
              <w:jc w:val="left"/>
            </w:pPr>
            <w:r>
              <w:t xml:space="preserve">- Copper Wiring</w:t>
            </w:r>
          </w:p>
        </w:tc>
        <w:tc>
          <w:tcPr/>
          <w:p>
            <w:pPr>
              <w:pStyle w:val="Compact"/>
              <w:jc w:val="left"/>
            </w:pPr>
            <w:r>
              <w:t xml:space="preserve">Scope 3</w:t>
            </w:r>
          </w:p>
        </w:tc>
        <w:tc>
          <w:tcPr/>
          <w:p>
            <w:pPr>
              <w:pStyle w:val="Compact"/>
              <w:jc w:val="left"/>
            </w:pPr>
            <w:r>
              <w:t xml:space="preserve">0.40</w:t>
            </w:r>
          </w:p>
        </w:tc>
      </w:tr>
      <w:tr>
        <w:tc>
          <w:tcPr/>
          <w:p>
            <w:pPr>
              <w:pStyle w:val="Compact"/>
              <w:jc w:val="left"/>
            </w:pPr>
            <w:r>
              <w:t xml:space="preserve">- Lithium-ion Battery</w:t>
            </w:r>
          </w:p>
        </w:tc>
        <w:tc>
          <w:tcPr/>
          <w:p>
            <w:pPr>
              <w:pStyle w:val="Compact"/>
              <w:jc w:val="left"/>
            </w:pPr>
            <w:r>
              <w:t xml:space="preserve">Scope 3</w:t>
            </w:r>
          </w:p>
        </w:tc>
        <w:tc>
          <w:tcPr/>
          <w:p>
            <w:pPr>
              <w:pStyle w:val="Compact"/>
              <w:jc w:val="left"/>
            </w:pPr>
            <w:r>
              <w:t xml:space="preserve">2.40</w:t>
            </w:r>
          </w:p>
        </w:tc>
      </w:tr>
      <w:tr>
        <w:tc>
          <w:tcPr/>
          <w:p>
            <w:pPr>
              <w:pStyle w:val="Compact"/>
              <w:jc w:val="left"/>
            </w:pPr>
            <w:r>
              <w:t xml:space="preserve">- Printed Circuit Board (PCB)</w:t>
            </w:r>
          </w:p>
        </w:tc>
        <w:tc>
          <w:tcPr/>
          <w:p>
            <w:pPr>
              <w:pStyle w:val="Compact"/>
              <w:jc w:val="left"/>
            </w:pPr>
            <w:r>
              <w:t xml:space="preserve">Scope 3</w:t>
            </w:r>
          </w:p>
        </w:tc>
        <w:tc>
          <w:tcPr/>
          <w:p>
            <w:pPr>
              <w:pStyle w:val="Compact"/>
              <w:jc w:val="left"/>
            </w:pPr>
            <w:r>
              <w:t xml:space="preserve">0.50</w:t>
            </w:r>
          </w:p>
        </w:tc>
      </w:tr>
      <w:tr>
        <w:tc>
          <w:tcPr/>
          <w:p>
            <w:pPr>
              <w:pStyle w:val="Compact"/>
              <w:jc w:val="left"/>
            </w:pPr>
            <w:r>
              <w:rPr>
                <w:bCs/>
                <w:b/>
              </w:rPr>
              <w:t xml:space="preserve">Transportation (Upstream &amp; Downstream – Category 4: Transportation and Distribution)</w:t>
            </w:r>
          </w:p>
        </w:tc>
        <w:tc>
          <w:tcPr/>
          <w:p>
            <w:pPr>
              <w:pStyle w:val="Compact"/>
              <w:jc w:val="left"/>
            </w:pPr>
            <w:r>
              <w:t xml:space="preserve">Scope 3</w:t>
            </w:r>
          </w:p>
        </w:tc>
        <w:tc>
          <w:tcPr/>
          <w:p>
            <w:pPr>
              <w:pStyle w:val="Compact"/>
            </w:pPr>
          </w:p>
        </w:tc>
      </w:tr>
      <w:tr>
        <w:tc>
          <w:tcPr/>
          <w:p>
            <w:pPr>
              <w:pStyle w:val="Compact"/>
              <w:jc w:val="left"/>
            </w:pPr>
            <w:r>
              <w:t xml:space="preserve">- Primary Transport (xspgeuxplh = 15,000 km, Select Mode = Ocean Freight, assuming 0.01 kg CO2e/tonne-km for an average product unit weight)</w:t>
            </w:r>
          </w:p>
        </w:tc>
        <w:tc>
          <w:tcPr/>
          <w:p>
            <w:pPr>
              <w:pStyle w:val="Compact"/>
              <w:jc w:val="left"/>
            </w:pPr>
            <w:r>
              <w:t xml:space="preserve">Scope 3</w:t>
            </w:r>
          </w:p>
        </w:tc>
        <w:tc>
          <w:tcPr/>
          <w:p>
            <w:pPr>
              <w:pStyle w:val="Compact"/>
              <w:jc w:val="left"/>
            </w:pPr>
            <w:r>
              <w:t xml:space="preserve">0.075 (Illustrative for unit weight)</w:t>
            </w:r>
          </w:p>
        </w:tc>
      </w:tr>
      <w:tr>
        <w:tc>
          <w:tcPr/>
          <w:p>
            <w:pPr>
              <w:pStyle w:val="Compact"/>
              <w:jc w:val="left"/>
            </w:pPr>
            <w:r>
              <w:t xml:space="preserve">- Last-Mile Delivery (Delivery Type = Road Freight, assuming 200 km local delivery, 0.08 kg CO2e/tonne-km for an average product unit weight)</w:t>
            </w:r>
          </w:p>
        </w:tc>
        <w:tc>
          <w:tcPr/>
          <w:p>
            <w:pPr>
              <w:pStyle w:val="Compact"/>
              <w:jc w:val="left"/>
            </w:pPr>
            <w:r>
              <w:t xml:space="preserve">Scope 3</w:t>
            </w:r>
          </w:p>
        </w:tc>
        <w:tc>
          <w:tcPr/>
          <w:p>
            <w:pPr>
              <w:pStyle w:val="Compact"/>
              <w:jc w:val="left"/>
            </w:pPr>
            <w:r>
              <w:t xml:space="preserve">0.008 (Illustrative for unit weight)</w:t>
            </w:r>
          </w:p>
        </w:tc>
      </w:tr>
      <w:tr>
        <w:tc>
          <w:tcPr/>
          <w:p>
            <w:pPr>
              <w:pStyle w:val="Compact"/>
              <w:jc w:val="left"/>
            </w:pPr>
            <w:r>
              <w:rPr>
                <w:bCs/>
                <w:b/>
              </w:rPr>
              <w:t xml:space="preserve">Use Phase (Downstream – Category 11: Use of Sold Products)</w:t>
            </w:r>
          </w:p>
        </w:tc>
        <w:tc>
          <w:tcPr/>
          <w:p>
            <w:pPr>
              <w:pStyle w:val="Compact"/>
              <w:jc w:val="left"/>
            </w:pPr>
            <w:r>
              <w:t xml:space="preserve">Scope 3</w:t>
            </w:r>
          </w:p>
        </w:tc>
        <w:tc>
          <w:tcPr/>
          <w:p>
            <w:pPr>
              <w:pStyle w:val="Compact"/>
            </w:pPr>
          </w:p>
        </w:tc>
      </w:tr>
      <w:tr>
        <w:tc>
          <w:tcPr/>
          <w:p>
            <w:pPr>
              <w:pStyle w:val="Compact"/>
              <w:jc w:val="left"/>
            </w:pPr>
            <w:r>
              <w:t xml:space="preserve">- Energy Consumption in Use (zpkjtpzydt = 5 years, jzlhipsdks = 10 kWh/year, Europe grid EF = 0.25 kg CO2e/kWh)</w:t>
            </w:r>
          </w:p>
        </w:tc>
        <w:tc>
          <w:tcPr/>
          <w:p>
            <w:pPr>
              <w:pStyle w:val="Compact"/>
              <w:jc w:val="left"/>
            </w:pPr>
            <w:r>
              <w:t xml:space="preserve">Scope 3</w:t>
            </w:r>
          </w:p>
        </w:tc>
        <w:tc>
          <w:tcPr/>
          <w:p>
            <w:pPr>
              <w:pStyle w:val="Compact"/>
              <w:jc w:val="left"/>
            </w:pPr>
            <w:r>
              <w:t xml:space="preserve">12.50</w:t>
            </w:r>
          </w:p>
        </w:tc>
      </w:tr>
      <w:tr>
        <w:tc>
          <w:tcPr/>
          <w:p>
            <w:pPr>
              <w:pStyle w:val="Compact"/>
              <w:jc w:val="left"/>
            </w:pPr>
            <w:r>
              <w:rPr>
                <w:bCs/>
                <w:b/>
              </w:rPr>
              <w:t xml:space="preserve">End-of-Life Treatment (Downstream – Category 12: End-of-Life Treatment of Sold Products)</w:t>
            </w:r>
          </w:p>
        </w:tc>
        <w:tc>
          <w:tcPr/>
          <w:p>
            <w:pPr>
              <w:pStyle w:val="Compact"/>
              <w:jc w:val="left"/>
            </w:pPr>
            <w:r>
              <w:t xml:space="preserve">Scope 3</w:t>
            </w:r>
          </w:p>
        </w:tc>
        <w:tc>
          <w:tcPr/>
          <w:p>
            <w:pPr>
              <w:pStyle w:val="Compact"/>
            </w:pPr>
          </w:p>
        </w:tc>
      </w:tr>
      <w:tr>
        <w:tc>
          <w:tcPr/>
          <w:p>
            <w:pPr>
              <w:pStyle w:val="Compact"/>
              <w:jc w:val="left"/>
            </w:pPr>
            <w:r>
              <w:t xml:space="preserve">- Waste Treatment (hfsuzwlrqf = 70% recyclability; 30% to landfill assuming 0.5kg initial product weight, 0.1 kg CO2e/kg for landfill)</w:t>
            </w:r>
          </w:p>
        </w:tc>
        <w:tc>
          <w:tcPr/>
          <w:p>
            <w:pPr>
              <w:pStyle w:val="Compact"/>
              <w:jc w:val="left"/>
            </w:pPr>
            <w:r>
              <w:t xml:space="preserve">Scope 3</w:t>
            </w:r>
          </w:p>
        </w:tc>
        <w:tc>
          <w:tcPr/>
          <w:p>
            <w:pPr>
              <w:pStyle w:val="Compact"/>
              <w:jc w:val="left"/>
            </w:pPr>
            <w:r>
              <w:t xml:space="preserve">0.015 (Illustrative for non-recycled portion)</w:t>
            </w:r>
          </w:p>
        </w:tc>
      </w:tr>
      <w:tr>
        <w:tc>
          <w:tcPr>
            <w:gridSpan w:val="2"/>
          </w:tcPr>
          <w:p>
            <w:pPr>
              <w:pStyle w:val="Compact"/>
              <w:jc w:val="right"/>
            </w:pPr>
            <w:r>
              <w:t xml:space="preserve">TOTAL PCF (kg CO2e per 1.0 unit of ukwwnytldt)</w:t>
            </w:r>
          </w:p>
        </w:tc>
        <w:tc>
          <w:tcPr/>
          <w:p>
            <w:pPr>
              <w:pStyle w:val="Compact"/>
              <w:jc w:val="left"/>
            </w:pPr>
            <w:r>
              <w:t xml:space="preserve">23.78</w:t>
            </w:r>
          </w:p>
        </w:tc>
      </w:tr>
    </w:tbl>
    <w:p>
      <w:pPr>
        <w:pStyle w:val="BodyText"/>
      </w:pPr>
      <w:r>
        <w:t xml:space="preserve">*Note: Emission factors used are illustrative and would be replaced with specific, verifiable data from databases like Ecoinvent, GaBi, or national inventories (e.g., DEFRA) in a full commercial assessment. Product unit weight assumed to be 0.5 kg for illustrative transport and EoL calculations where not explicitly defined by BOM total weight.</w:t>
      </w:r>
    </w:p>
    <w:bookmarkEnd w:id="31"/>
    <w:bookmarkStart w:id="32" w:name="ghg-protocol-scope-breakdown"/>
    <w:p>
      <w:pPr>
        <w:pStyle w:val="Heading3"/>
      </w:pPr>
      <w:r>
        <w:t xml:space="preserve">GHG Protocol Scope Breakdown</w:t>
      </w:r>
    </w:p>
    <w:p>
      <w:pPr>
        <w:pStyle w:val="FirstParagraph"/>
      </w:pPr>
      <w:r>
        <w:t xml:space="preserve">The calculated emissions are distributed across the GHG Protocol scopes as follows:</w:t>
      </w:r>
    </w:p>
    <w:p>
      <w:pPr>
        <w:numPr>
          <w:ilvl w:val="0"/>
          <w:numId w:val="1009"/>
        </w:numPr>
        <w:pStyle w:val="Compact"/>
      </w:pPr>
      <w:r>
        <w:rPr>
          <w:bCs/>
          <w:b/>
        </w:rPr>
        <w:t xml:space="preserve">Scope 1 Emissions:</w:t>
      </w:r>
      <w:r>
        <w:t xml:space="preserve"> </w:t>
      </w:r>
      <w:r>
        <w:t xml:space="preserve">0.05 kg CO2e (0.21% of total)</w:t>
      </w:r>
      <w:r>
        <w:br/>
      </w:r>
      <w:r>
        <w:t xml:space="preserve">These are direct emissions from sources owned or controlled by \'jwyvwvysel\' related to the manufacturing of \'ukwwnytldt\'.</w:t>
      </w:r>
    </w:p>
    <w:p>
      <w:pPr>
        <w:numPr>
          <w:ilvl w:val="0"/>
          <w:numId w:val="1009"/>
        </w:numPr>
        <w:pStyle w:val="Compact"/>
      </w:pPr>
      <w:r>
        <w:rPr>
          <w:bCs/>
          <w:b/>
        </w:rPr>
        <w:t xml:space="preserve">Scope 2 Emissions:</w:t>
      </w:r>
      <w:r>
        <w:t xml:space="preserve"> </w:t>
      </w:r>
      <w:r>
        <w:t xml:space="preserve">0.24 kg CO2e (1.01% of total)</w:t>
      </w:r>
      <w:r>
        <w:br/>
      </w:r>
      <w:r>
        <w:t xml:space="preserve">These represent indirect emissions from the generation of purchased electricity consumed during the manufacturing of \'ukwwnytldt\'. The specified \'uiyoupzsej\' (50% renewable energy usage) significantly reduces this footprint.</w:t>
      </w:r>
    </w:p>
    <w:p>
      <w:pPr>
        <w:numPr>
          <w:ilvl w:val="0"/>
          <w:numId w:val="1009"/>
        </w:numPr>
        <w:pStyle w:val="Compact"/>
      </w:pPr>
      <w:r>
        <w:rPr>
          <w:bCs/>
          <w:b/>
        </w:rPr>
        <w:t xml:space="preserve">Scope 3 Emissions:</w:t>
      </w:r>
      <w:r>
        <w:t xml:space="preserve"> </w:t>
      </w:r>
      <w:r>
        <w:t xml:space="preserve">23.49 kg CO2e (98.78% of total)</w:t>
      </w:r>
      <w:r>
        <w:br/>
      </w:r>
      <w:r>
        <w:t xml:space="preserve">This substantial portion covers all other indirect emissions across the value chain. As per 2026 requirements, this analysis ensures at least 95% coverage for Scope 3 reporting. Key categories include:</w:t>
      </w:r>
    </w:p>
    <w:p>
      <w:pPr>
        <w:numPr>
          <w:ilvl w:val="1"/>
          <w:numId w:val="1010"/>
        </w:numPr>
        <w:pStyle w:val="Compact"/>
      </w:pPr>
      <w:r>
        <w:rPr>
          <w:bCs/>
          <w:b/>
        </w:rPr>
        <w:t xml:space="preserve">Upstream (Category 1: Purchased Goods and Services):</w:t>
      </w:r>
      <w:r>
        <w:t xml:space="preserve"> </w:t>
      </w:r>
      <w:r>
        <w:t xml:space="preserve">Material acquisition and processing (totaling 10.89 kg CO2e) represent a significant hotspot, directly derived from the \'gkdiohsk\' BOM.</w:t>
      </w:r>
    </w:p>
    <w:p>
      <w:pPr>
        <w:numPr>
          <w:ilvl w:val="1"/>
          <w:numId w:val="1010"/>
        </w:numPr>
        <w:pStyle w:val="Compact"/>
      </w:pPr>
      <w:r>
        <w:rPr>
          <w:bCs/>
          <w:b/>
        </w:rPr>
        <w:t xml:space="preserve">Upstream &amp; Downstream (Category 4: Transportation and Distribution):</w:t>
      </w:r>
      <w:r>
        <w:t xml:space="preserve"> </w:t>
      </w:r>
      <w:r>
        <w:t xml:space="preserve">Emissions from transporting raw materials and the finished product (totaling 0.083 kg CO2e) are calculated based on \'Select Mode\', \'xspgeuxplh\', and \'Delivery Type\'.</w:t>
      </w:r>
    </w:p>
    <w:p>
      <w:pPr>
        <w:numPr>
          <w:ilvl w:val="1"/>
          <w:numId w:val="1010"/>
        </w:numPr>
        <w:pStyle w:val="Compact"/>
      </w:pPr>
      <w:r>
        <w:rPr>
          <w:bCs/>
          <w:b/>
        </w:rPr>
        <w:t xml:space="preserve">Downstream (Category 11: Use of Sold Products):</w:t>
      </w:r>
      <w:r>
        <w:t xml:space="preserve"> </w:t>
      </w:r>
      <w:r>
        <w:t xml:space="preserve">The use phase (12.50 kg CO2e), driven by \'zpkjtpzydt\' (product lifespan) and \'jzlhipsdks\' (energy consumption), is the largest contributor, highlighting the importance of energy efficiency during product operation.</w:t>
      </w:r>
    </w:p>
    <w:p>
      <w:pPr>
        <w:numPr>
          <w:ilvl w:val="1"/>
          <w:numId w:val="1010"/>
        </w:numPr>
        <w:pStyle w:val="Compact"/>
      </w:pPr>
      <w:r>
        <w:rPr>
          <w:bCs/>
          <w:b/>
        </w:rPr>
        <w:t xml:space="preserve">Downstream (Category 12: End-of-Life Treatment of Sold Products):</w:t>
      </w:r>
      <w:r>
        <w:t xml:space="preserve"> </w:t>
      </w:r>
      <w:r>
        <w:t xml:space="preserve">EoL emissions (0.015 kg CO2e) reflect the impact of disposal, partially mitigated by \'hfsuzwlrqf\' (70% recyclability) and \'updewuyzie\' (circular/take-back programs).</w:t>
      </w:r>
    </w:p>
    <w:p>
      <w:pPr>
        <w:pStyle w:val="FirstParagraph"/>
      </w:pPr>
      <w:r>
        <w:rPr>
          <w:bCs/>
          <w:b/>
        </w:rPr>
        <w:t xml:space="preserve">Land Sector and Removals (LSR) Standard:</w:t>
      </w:r>
      <w:r>
        <w:t xml:space="preserve"> </w:t>
      </w:r>
      <w:r>
        <w:t xml:space="preserve">The analysis acknowledges the application of the GHG Protocol Land Sector and Removals (LSR) Standard. While specific land use change or biogenic carbon removal data was not provided in the parameters, the framework for assessing such impacts would be integrated into a deeper dive if relevant data becomes available, particularly for materials derived from biomass or land-intensive processes.</w:t>
      </w:r>
    </w:p>
    <w:bookmarkEnd w:id="32"/>
    <w:bookmarkEnd w:id="33"/>
    <w:p>
      <w:r>
        <w:pict>
          <v:rect style="width:0;height:1.5pt" o:hralign="center" o:hrstd="t" o:hr="t"/>
        </w:pict>
      </w:r>
    </w:p>
    <w:bookmarkStart w:id="37" w:name="review-report"/>
    <w:p>
      <w:pPr>
        <w:pStyle w:val="Heading2"/>
      </w:pPr>
      <w:r>
        <w:t xml:space="preserve">5. Review &amp; Report</w:t>
      </w:r>
    </w:p>
    <w:p>
      <w:pPr>
        <w:pStyle w:val="FirstParagraph"/>
      </w:pPr>
      <w:r>
        <w:t xml:space="preserve">This section summarizes the findings and identifies key emission hotspots and provides recommendations.</w:t>
      </w:r>
    </w:p>
    <w:bookmarkStart w:id="34" w:name="emission-hotspots"/>
    <w:p>
      <w:pPr>
        <w:pStyle w:val="Heading3"/>
      </w:pPr>
      <w:r>
        <w:t xml:space="preserve">Emission Hotspots</w:t>
      </w:r>
    </w:p>
    <w:p>
      <w:pPr>
        <w:pStyle w:val="FirstParagraph"/>
      </w:pPr>
      <w:r>
        <w:t xml:space="preserve">Based on the analysis, the primary emission hotspots for \'ukwwnytldt\' are:</w:t>
      </w:r>
    </w:p>
    <w:p>
      <w:pPr>
        <w:numPr>
          <w:ilvl w:val="0"/>
          <w:numId w:val="1011"/>
        </w:numPr>
        <w:pStyle w:val="Compact"/>
      </w:pPr>
      <w:r>
        <w:rPr>
          <w:bCs/>
          <w:b/>
        </w:rPr>
        <w:t xml:space="preserve">Use Phase (52.5% of total PCF):</w:t>
      </w:r>
      <w:r>
        <w:t xml:space="preserve"> </w:t>
      </w:r>
      <w:r>
        <w:t xml:space="preserve">The energy consumed during the product\'s lifespan (\'zpkjtpzydt\' and \'jzlhipsdks\') is the single largest contributor to the carbon footprint.</w:t>
      </w:r>
    </w:p>
    <w:p>
      <w:pPr>
        <w:numPr>
          <w:ilvl w:val="0"/>
          <w:numId w:val="1011"/>
        </w:numPr>
        <w:pStyle w:val="Compact"/>
      </w:pPr>
      <w:r>
        <w:rPr>
          <w:bCs/>
          <w:b/>
        </w:rPr>
        <w:t xml:space="preserve">Material Production (45.8% of total PCF):</w:t>
      </w:r>
      <w:r>
        <w:t xml:space="preserve"> </w:t>
      </w:r>
      <w:r>
        <w:t xml:space="preserve">The extraction and processing of raw materials, particularly the Aluminum Alloy Casing and Lithium-ion Battery, contribute significantly to upstream Scope 3 emissions.</w:t>
      </w:r>
    </w:p>
    <w:p>
      <w:pPr>
        <w:numPr>
          <w:ilvl w:val="0"/>
          <w:numId w:val="1011"/>
        </w:numPr>
        <w:pStyle w:val="Compact"/>
      </w:pPr>
      <w:r>
        <w:rPr>
          <w:bCs/>
          <w:b/>
        </w:rPr>
        <w:t xml:space="preserve">Manufacturing Energy (1.01% of total PCF):</w:t>
      </w:r>
      <w:r>
        <w:t xml:space="preserve"> </w:t>
      </w:r>
      <w:r>
        <w:t xml:space="preserve">Purchased electricity for production, although mitigated by \'uiyoupzsej\' (50% renewable usage), still represents a notable Scope 2 contribution.</w:t>
      </w:r>
    </w:p>
    <w:bookmarkEnd w:id="34"/>
    <w:bookmarkStart w:id="35" w:name="reliability-and-data-gaps"/>
    <w:p>
      <w:pPr>
        <w:pStyle w:val="Heading3"/>
      </w:pPr>
      <w:r>
        <w:t xml:space="preserve">Reliability and Data Gaps</w:t>
      </w:r>
    </w:p>
    <w:p>
      <w:pPr>
        <w:pStyle w:val="FirstParagraph"/>
      </w:pPr>
      <w:r>
        <w:t xml:space="preserve">The reliability of this PCF is good, relying on specific BOM data and customized operational parameters. However, certain assumptions were made for illustrative purposes where detailed data was not provided:</w:t>
      </w:r>
    </w:p>
    <w:p>
      <w:pPr>
        <w:numPr>
          <w:ilvl w:val="0"/>
          <w:numId w:val="1012"/>
        </w:numPr>
        <w:pStyle w:val="Compact"/>
      </w:pPr>
      <w:r>
        <w:t xml:space="preserve">Specific emission factors for transport (per tonne-km) and waste treatment were based on representative industry averages.</w:t>
      </w:r>
    </w:p>
    <w:p>
      <w:pPr>
        <w:numPr>
          <w:ilvl w:val="0"/>
          <w:numId w:val="1012"/>
        </w:numPr>
        <w:pStyle w:val="Compact"/>
      </w:pPr>
      <w:r>
        <w:t xml:space="preserve">Exact product weight for transport calculations was estimated if not explicitly derived from BOM.</w:t>
      </w:r>
    </w:p>
    <w:p>
      <w:pPr>
        <w:numPr>
          <w:ilvl w:val="0"/>
          <w:numId w:val="1012"/>
        </w:numPr>
        <w:pStyle w:val="Compact"/>
      </w:pPr>
      <w:r>
        <w:t xml:space="preserve">Detailed primary data for land use change and biogenic carbon removals under the LSR standard would further enhance accuracy.</w:t>
      </w:r>
    </w:p>
    <w:bookmarkEnd w:id="35"/>
    <w:bookmarkStart w:id="36" w:name="recommendations-for-emission-reduction"/>
    <w:p>
      <w:pPr>
        <w:pStyle w:val="Heading3"/>
      </w:pPr>
      <w:r>
        <w:t xml:space="preserve">Recommendations for Emission Reduction</w:t>
      </w:r>
    </w:p>
    <w:p>
      <w:pPr>
        <w:pStyle w:val="FirstParagraph"/>
      </w:pPr>
      <w:r>
        <w:t xml:space="preserve">To reduce the PCF of \'ukwwnytldt\', \'jwyvwvysel\' should focus on:</w:t>
      </w:r>
    </w:p>
    <w:p>
      <w:pPr>
        <w:numPr>
          <w:ilvl w:val="0"/>
          <w:numId w:val="1013"/>
        </w:numPr>
        <w:pStyle w:val="Compact"/>
      </w:pPr>
      <w:r>
        <w:rPr>
          <w:bCs/>
          <w:b/>
        </w:rPr>
        <w:t xml:space="preserve">Optimize Use Phase Energy Efficiency:</w:t>
      </w:r>
      <w:r>
        <w:t xml:space="preserve"> </w:t>
      </w:r>
      <w:r>
        <w:t xml:space="preserve">Redesign \'ukwwnytldt\' to significantly lower \'jzlhipsdks\' (energy consumption in use) during its \'zpkjtpzydt\' (lifespan). This could involve more efficient components, smart energy management features, or extending product durability to reduce replacement cycles.</w:t>
      </w:r>
    </w:p>
    <w:p>
      <w:pPr>
        <w:numPr>
          <w:ilvl w:val="0"/>
          <w:numId w:val="1013"/>
        </w:numPr>
        <w:pStyle w:val="Compact"/>
      </w:pPr>
      <w:r>
        <w:rPr>
          <w:bCs/>
          <w:b/>
        </w:rPr>
        <w:t xml:space="preserve">Sustainable Material Sourcing:</w:t>
      </w:r>
    </w:p>
    <w:p>
      <w:pPr>
        <w:numPr>
          <w:ilvl w:val="1"/>
          <w:numId w:val="1014"/>
        </w:numPr>
        <w:pStyle w:val="Compact"/>
      </w:pPr>
      <w:r>
        <w:t xml:space="preserve">Explore alternative materials with lower inherent carbon footprints for high-impact components like aluminum and lithium-ion batteries.</w:t>
      </w:r>
    </w:p>
    <w:p>
      <w:pPr>
        <w:numPr>
          <w:ilvl w:val="1"/>
          <w:numId w:val="1014"/>
        </w:numPr>
        <w:pStyle w:val="Compact"/>
      </w:pPr>
      <w:r>
        <w:t xml:space="preserve">Increase the proportion of recycled content in materials, especially plastics and metals, beyond current levels.</w:t>
      </w:r>
    </w:p>
    <w:p>
      <w:pPr>
        <w:numPr>
          <w:ilvl w:val="1"/>
          <w:numId w:val="1014"/>
        </w:numPr>
        <w:pStyle w:val="Compact"/>
      </w:pPr>
      <w:r>
        <w:t xml:space="preserve">Work with suppliers to reduce their upstream emissions through renewable energy adoption and process optimization.</w:t>
      </w:r>
    </w:p>
    <w:p>
      <w:pPr>
        <w:numPr>
          <w:ilvl w:val="0"/>
          <w:numId w:val="1013"/>
        </w:numPr>
        <w:pStyle w:val="Compact"/>
      </w:pPr>
      <w:r>
        <w:rPr>
          <w:bCs/>
          <w:b/>
        </w:rPr>
        <w:t xml:space="preserve">Enhance Circularity:</w:t>
      </w:r>
      <w:r>
        <w:t xml:space="preserve"> </w:t>
      </w:r>
      <w:r>
        <w:t xml:space="preserve">Further develop and promote \'updewuyzie\' (circular/take-back programs) to maximize the recycling and reuse of \'ukwwnytldt\' components, aiming to exceed the current \'hfsuzwlrqf\' (70% recyclability). Design for disassembly and repairability will be crucial.</w:t>
      </w:r>
    </w:p>
    <w:p>
      <w:pPr>
        <w:numPr>
          <w:ilvl w:val="0"/>
          <w:numId w:val="1013"/>
        </w:numPr>
        <w:pStyle w:val="Compact"/>
      </w:pPr>
      <w:r>
        <w:rPr>
          <w:bCs/>
          <w:b/>
        </w:rPr>
        <w:t xml:space="preserve">Decarbonize Manufacturing Operations:</w:t>
      </w:r>
      <w:r>
        <w:t xml:space="preserve"> </w:t>
      </w:r>
      <w:r>
        <w:t xml:space="preserve">Continue increasing \'uiyoupzsej\' (renewable energy usage) at production facilities in China beyond 50% to further reduce Scope 2 emissions.</w:t>
      </w:r>
    </w:p>
    <w:p>
      <w:pPr>
        <w:numPr>
          <w:ilvl w:val="0"/>
          <w:numId w:val="1013"/>
        </w:numPr>
        <w:pStyle w:val="Compact"/>
      </w:pPr>
      <w:r>
        <w:rPr>
          <w:bCs/>
          <w:b/>
        </w:rPr>
        <w:t xml:space="preserve">Optimize Logistics:</w:t>
      </w:r>
      <w:r>
        <w:t xml:space="preserve"> </w:t>
      </w:r>
      <w:r>
        <w:t xml:space="preserve">While a smaller contributor, explore more efficient transport routes, consolidate shipments, and consider lower-emission transport modes where feasible for \'Select Mode\' and \'Delivery Type\'.</w:t>
      </w:r>
    </w:p>
    <w:bookmarkEnd w:id="36"/>
    <w:bookmarkEnd w:id="37"/>
    <w:p>
      <w:r>
        <w:pict>
          <v:rect style="width:0;height:1.5pt" o:hralign="center" o:hrstd="t" o:hr="t"/>
        </w:pict>
      </w:r>
    </w:p>
    <w:p>
      <w:pPr>
        <w:pStyle w:val="FirstParagraph"/>
      </w:pPr>
      <w:r>
        <w:t xml:space="preserve">Confidential - Internal Use Only | This report is the intellectual property of jwyvwvysel and yhwjjtlgwq.</w:t>
      </w:r>
    </w:p>
    <w:p>
      <w:pPr>
        <w:pStyle w:val="BodyText"/>
      </w:pPr>
      <w:r>
        <w:t xml:space="preserve">Page 1 of X (dynamic page numbering in PDF conversion)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ukwwnytldt</dc:title>
  <dc:creator/>
  <dc:description>Detailed Product Carbon Footprint (PCF) analysis report for ukwwnytldt, conducted by Senior Sustainability Consultant yhwjjtlgwq for jwyvwvysel, adhering to GHG Protocol standards and covering Scope 1, 2, and 3 emissions.</dc:description>
  <dc:language>en</dc:language>
  <cp:keywords/>
  <dcterms:created xsi:type="dcterms:W3CDTF">2026-07-15T13:36:15Z</dcterms:created>
  <dcterms:modified xsi:type="dcterms:W3CDTF">2026-07-15T13:36:15Z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