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ukvwkkxtde</w:t>
      </w:r>
    </w:p>
    <w:p>
      <w:pPr>
        <w:pStyle w:val="FirstParagraph"/>
      </w:pPr>
      <w:r>
        <w:t xml:space="preserve">carboncalcpcf.com</w:t>
      </w:r>
    </w:p>
    <w:bookmarkStart w:id="20" w:name="Xd4ff46881d971b43012068f0b1fdedc92eb333b"/>
    <w:p>
      <w:pPr>
        <w:pStyle w:val="Heading1"/>
      </w:pPr>
      <w:r>
        <w:t xml:space="preserve">Product Carbon Footprint Report for ukvwkkxtde</w:t>
      </w:r>
    </w:p>
    <w:p>
      <w:pPr>
        <w:pStyle w:val="FirstParagraph"/>
      </w:pPr>
      <w:r>
        <w:rPr>
          <w:bCs/>
          <w:b/>
        </w:rPr>
        <w:t xml:space="preserve">Company Name:</w:t>
      </w:r>
      <w:r>
        <w:t xml:space="preserve"> </w:t>
      </w:r>
      <w:r>
        <w:t xml:space="preserve">dmtknxumws</w:t>
      </w:r>
    </w:p>
    <w:p>
      <w:pPr>
        <w:pStyle w:val="BodyText"/>
      </w:pPr>
      <w:r>
        <w:rPr>
          <w:bCs/>
          <w:b/>
        </w:rPr>
        <w:t xml:space="preserve">Senior Sustainability Consultant:</w:t>
      </w:r>
      <w:r>
        <w:t xml:space="preserve"> </w:t>
      </w:r>
      <w:r>
        <w:t xml:space="preserve">hygyejmdzq</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illustrative numerical values where specific data was provided as textual identifiers. Actual calculations for precise carbon footprint require comprehensive primary data for all parameters.</w:t>
      </w:r>
    </w:p>
    <w:bookmarkEnd w:id="20"/>
    <w:bookmarkStart w:id="48"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"ukvwkkxtde," undertaken for dmtknxumws by hygyejmdzq, Senior Sustainability Consultant. The analysis strictly adheres to the GHG Protocol and incorporates the 2026 Land Sector and Removals (LSR) Standard update, aiming for at least 95% coverage for Scope 3 emissions. Due to the provision of certain key parameters as textual identifiers rather than specific numerical data, illustrative numerical values based on industry averages have been used to demonstrate the calculation methodology. The primary objective is to identify key emission hotspots across the product\'s lifecycle from a factory-gate system boundary perspective, with a focus on Europe in the supply chain and final production in China.</w:t>
      </w:r>
    </w:p>
    <w:p>
      <w:r>
        <w:pict>
          <v:rect style="width:0;height:1.5pt" o:hralign="center" o:hrstd="t" o:hr="t"/>
        </w:pict>
      </w:r>
    </w:p>
    <w:bookmarkEnd w:id="21"/>
    <w:bookmarkStart w:id="22" w:name="methodology-followed"/>
    <w:p>
      <w:pPr>
        <w:pStyle w:val="Heading2"/>
      </w:pPr>
      <w:r>
        <w:t xml:space="preserve">1. Methodology Followed</w:t>
      </w:r>
    </w:p>
    <w:p>
      <w:pPr>
        <w:pStyle w:val="FirstParagraph"/>
      </w:pPr>
      <w:r>
        <w:t xml:space="preserve">The Product Carbon Footprint analysis for ukvwkkxtde was conducted following a systematic 5-step methodology, in strict compliance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map all relevant processes and activities across the product\'s lifecycle.</w:t>
      </w:r>
    </w:p>
    <w:p>
      <w:pPr>
        <w:numPr>
          <w:ilvl w:val="0"/>
          <w:numId w:val="1001"/>
        </w:numPr>
        <w:pStyle w:val="Compact"/>
      </w:pPr>
      <w:r>
        <w:rPr>
          <w:bCs/>
          <w:b/>
        </w:rPr>
        <w:t xml:space="preserve">Collect Data:</w:t>
      </w:r>
      <w:r>
        <w:t xml:space="preserve"> </w:t>
      </w:r>
      <w:r>
        <w:t xml:space="preserve">Gather both primary and secondary data points for all identified lifecycle stages.</w:t>
      </w:r>
    </w:p>
    <w:p>
      <w:pPr>
        <w:numPr>
          <w:ilvl w:val="0"/>
          <w:numId w:val="1001"/>
        </w:numPr>
        <w:pStyle w:val="Compact"/>
      </w:pPr>
      <w:r>
        <w:rPr>
          <w:bCs/>
          <w:b/>
        </w:rPr>
        <w:t xml:space="preserve">Calculate Emissions:</w:t>
      </w:r>
      <w:r>
        <w:t xml:space="preserve"> </w:t>
      </w:r>
      <w:r>
        <w:t xml:space="preserve">Quantify greenhouse gas emissions using activity data and appropriate emission factors.</w:t>
      </w:r>
    </w:p>
    <w:p>
      <w:pPr>
        <w:numPr>
          <w:ilvl w:val="0"/>
          <w:numId w:val="1001"/>
        </w:numPr>
        <w:pStyle w:val="Compact"/>
      </w:pPr>
      <w:r>
        <w:rPr>
          <w:bCs/>
          <w:b/>
        </w:rPr>
        <w:t xml:space="preserve">Review &amp; Report:</w:t>
      </w:r>
      <w:r>
        <w:t xml:space="preserve"> </w:t>
      </w:r>
      <w:r>
        <w:t xml:space="preserve">Analyze the results to identify emission hotspots, assess data reliability, and present findings.</w:t>
      </w:r>
    </w:p>
    <w:p>
      <w:pPr>
        <w:pStyle w:val="FirstParagraph"/>
      </w:pPr>
      <w:r>
        <w:t xml:space="preserve">Throughout the analysis, emissions are categorized into Scope 1 (direct), Scope 2 (purchased energy), and Scope 3 (value chain) in accordance with the GHG Protocol. The 2026 Land Sector and Removals (LSR) Standard update is applied for land use and carbon removals, and an ambitious target of at least 95% coverage for Scope 3 reporting, as per 2026 requirements, is maintained.</w:t>
      </w:r>
    </w:p>
    <w:p>
      <w:r>
        <w:pict>
          <v:rect style="width:0;height:1.5pt" o:hralign="center" o:hrstd="t" o:hr="t"/>
        </w:pict>
      </w:r>
    </w:p>
    <w:bookmarkEnd w:id="22"/>
    <w:bookmarkStart w:id="27" w:name="scope-definition"/>
    <w:p>
      <w:pPr>
        <w:pStyle w:val="Heading2"/>
      </w:pPr>
      <w:r>
        <w:t xml:space="preserve">2. Scope Definition</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ukvwkkxtde</w:t>
      </w:r>
      <w:r>
        <w:t xml:space="preserve">.</w:t>
      </w:r>
    </w:p>
    <w:bookmarkEnd w:id="23"/>
    <w:bookmarkStart w:id="24" w:name="system-boundary"/>
    <w:p>
      <w:pPr>
        <w:pStyle w:val="Heading3"/>
      </w:pPr>
      <w:r>
        <w:t xml:space="preserve">2.2 System Boundary</w:t>
      </w:r>
    </w:p>
    <w:p>
      <w:pPr>
        <w:pStyle w:val="FirstParagraph"/>
      </w:pPr>
      <w:r>
        <w:t xml:space="preserve">The system boundary for this analysis is defined as</w:t>
      </w:r>
      <w:r>
        <w:t xml:space="preserve"> </w:t>
      </w:r>
      <w:r>
        <w:rPr>
          <w:bCs/>
          <w:b/>
        </w:rPr>
        <w:t xml:space="preserve">factory_gate</w:t>
      </w:r>
      <w:r>
        <w:t xml:space="preserve">. This implies the analysis covers emissions from raw material extraction, manufacturing processes up to the point the product leaves the factory gate, including all upstream transportation. Emissions from the use phase and end-of-life are also included as per the detailed parameter requirements, extending beyond a strict \'cradle-to-gate\' to a modified \'cradle-to-grave\' approach for a comprehensive view.</w:t>
      </w:r>
    </w:p>
    <w:bookmarkEnd w:id="24"/>
    <w:bookmarkStart w:id="25"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2.4 Accounting Standard</w:t>
      </w:r>
    </w:p>
    <w:p>
      <w:pPr>
        <w:pStyle w:val="FirstParagraph"/>
      </w:pPr>
      <w:r>
        <w:t xml:space="preserve">The PCF analysis is conducted in accordance with the</w:t>
      </w:r>
      <w:r>
        <w:t xml:space="preserve"> </w:t>
      </w:r>
      <w:r>
        <w:rPr>
          <w:bCs/>
          <w:b/>
        </w:rPr>
        <w:t xml:space="preserve">GHG Protocol Product Life Cycle Accounting and Reporting Standard</w:t>
      </w:r>
      <w:r>
        <w:t xml:space="preserve">.</w:t>
      </w:r>
    </w:p>
    <w:p>
      <w:r>
        <w:pict>
          <v:rect style="width:0;height:1.5pt" o:hralign="center" o:hrstd="t" o:hr="t"/>
        </w:pict>
      </w:r>
    </w:p>
    <w:bookmarkEnd w:id="26"/>
    <w:bookmarkEnd w:id="27"/>
    <w:bookmarkStart w:id="34" w:name="lifecycle-mapping-and-data-collection"/>
    <w:p>
      <w:pPr>
        <w:pStyle w:val="Heading2"/>
      </w:pPr>
      <w:r>
        <w:t xml:space="preserve">3. Lifecycle Mapping and Data Collection</w:t>
      </w:r>
    </w:p>
    <w:p>
      <w:pPr>
        <w:pStyle w:val="FirstParagraph"/>
      </w:pPr>
      <w:r>
        <w:t xml:space="preserve">This section details the lifecycle stages mapped for ukvwkkxtde and the data collected, or illustrative data assumed where specific numerical inputs were not provided for certain parameters.</w:t>
      </w:r>
    </w:p>
    <w:bookmarkStart w:id="28" w:name="X012de824d857eccb34738f2e12689d42c4f335a"/>
    <w:p>
      <w:pPr>
        <w:pStyle w:val="Heading3"/>
      </w:pPr>
      <w:r>
        <w:t xml:space="preserve">3.1 Bill of Materials (BOM) and Material Inputs (Scope 3 - Upstream)</w:t>
      </w:r>
    </w:p>
    <w:p>
      <w:pPr>
        <w:pStyle w:val="FirstParagraph"/>
      </w:pPr>
      <w:r>
        <w:t xml:space="preserve">The Detailed Bill of Materials (BOM) is identified as: `gmkkofur`. To perform a high-accuracy material impact calculation, and given the instruction that "The BOM data provided follows this format for each item: ID, Description, Category, Process, Qty, Unit, Emission Factor, Total Carbon," we present an illustrative BOM data set that would enable such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 &amp; Pulp</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above table uses illustrative numerical values for a BOM structure to demonstrate the calculation methodology, as the provided \'gmkkofur\' was a textual identifier. The \'Total Carbon\' values are used directly for material emissions.</w:t>
      </w:r>
    </w:p>
    <w:p>
      <w:pPr>
        <w:pStyle w:val="BodyText"/>
      </w:pPr>
      <w:r>
        <w:rPr>
          <w:bCs/>
          <w:b/>
        </w:rPr>
        <w:t xml:space="preserve">Total Illustrative Product Mass (approx.):</w:t>
      </w:r>
      <w:r>
        <w:t xml:space="preserve"> </w:t>
      </w:r>
      <w:r>
        <w:t xml:space="preserve">Sum of quantities from the illustrative BOM (assuming \'unit\' for Circuit Board translates to an equivalent mass for EoL analysis): 0.3 kg + 0.1 kg + 0.05 kg + 0.2 kg = 0.65 kg.</w:t>
      </w:r>
    </w:p>
    <w:bookmarkEnd w:id="28"/>
    <w:bookmarkStart w:id="29" w:name="Xe2cb549e64f2d575d3c6da16bcbe0c9407a5004"/>
    <w:p>
      <w:pPr>
        <w:pStyle w:val="Heading3"/>
      </w:pPr>
      <w:r>
        <w:t xml:space="preserve">3.2 Production Phase (Scope 1 &amp; 2, partially Scope 3 Upstream)</w:t>
      </w:r>
    </w:p>
    <w:p>
      <w:pPr>
        <w:numPr>
          <w:ilvl w:val="0"/>
          <w:numId w:val="1003"/>
        </w:numPr>
        <w:pStyle w:val="Compact"/>
      </w:pPr>
      <w:r>
        <w:rPr>
          <w:bCs/>
          <w:b/>
        </w:rPr>
        <w:t xml:space="preserve">Renewable Energy Usage:</w:t>
      </w:r>
      <w:r>
        <w:t xml:space="preserve"> </w:t>
      </w:r>
      <w:r>
        <w:t xml:space="preserve">`rmwwkeikzn`. For illustrative calculations, we assume this represents 60%.</w:t>
      </w:r>
    </w:p>
    <w:p>
      <w:pPr>
        <w:numPr>
          <w:ilvl w:val="0"/>
          <w:numId w:val="1003"/>
        </w:numPr>
        <w:pStyle w:val="Compact"/>
      </w:pPr>
      <w:r>
        <w:rPr>
          <w:bCs/>
          <w:b/>
        </w:rPr>
        <w:t xml:space="preserve">Energy Intensity (kWh/unit):</w:t>
      </w:r>
      <w:r>
        <w:t xml:space="preserve"> </w:t>
      </w:r>
      <w:r>
        <w:t xml:space="preserve">`imjsmjpjjh`. For illustrative calculations, we assume this represents 8.5 kWh/unit.</w:t>
      </w:r>
    </w:p>
    <w:p>
      <w:pPr>
        <w:numPr>
          <w:ilvl w:val="0"/>
          <w:numId w:val="1003"/>
        </w:numPr>
        <w:pStyle w:val="Compact"/>
      </w:pPr>
      <w:r>
        <w:rPr>
          <w:bCs/>
          <w:b/>
        </w:rPr>
        <w:t xml:space="preserve">Production Location:</w:t>
      </w:r>
      <w:r>
        <w:t xml:space="preserve"> </w:t>
      </w:r>
      <w:r>
        <w:t xml:space="preserve">China</w:t>
      </w:r>
    </w:p>
    <w:bookmarkEnd w:id="29"/>
    <w:bookmarkStart w:id="30" w:name="Xea405fd7fd0435ca5483dd0b855a2897c7a41e8"/>
    <w:p>
      <w:pPr>
        <w:pStyle w:val="Heading3"/>
      </w:pPr>
      <w:r>
        <w:t xml:space="preserve">3.3 Transport and Logistics (Scope 3 - Upstream &amp; Downstream)</w:t>
      </w:r>
    </w:p>
    <w:p>
      <w:pPr>
        <w:numPr>
          <w:ilvl w:val="0"/>
          <w:numId w:val="1004"/>
        </w:numPr>
        <w:pStyle w:val="Compact"/>
      </w:pPr>
      <w:r>
        <w:rPr>
          <w:bCs/>
          <w:b/>
        </w:rPr>
        <w:t xml:space="preserve">Transport Mode:</w:t>
      </w:r>
      <w:r>
        <w:t xml:space="preserve"> </w:t>
      </w:r>
      <w:r>
        <w:t xml:space="preserve">`Select Mode`. For illustrative calculations, we assume "Road Freight (Heavy Truck)".</w:t>
      </w:r>
    </w:p>
    <w:p>
      <w:pPr>
        <w:numPr>
          <w:ilvl w:val="0"/>
          <w:numId w:val="1004"/>
        </w:numPr>
        <w:pStyle w:val="Compact"/>
      </w:pPr>
      <w:r>
        <w:rPr>
          <w:bCs/>
          <w:b/>
        </w:rPr>
        <w:t xml:space="preserve">Transport Distance:</w:t>
      </w:r>
      <w:r>
        <w:t xml:space="preserve"> </w:t>
      </w:r>
      <w:r>
        <w:t xml:space="preserve">`huyppnjyhe`. For illustrative calculations, we assume "1500 km" (reflecting Europe-focused supply chain to China production).</w:t>
      </w:r>
    </w:p>
    <w:p>
      <w:pPr>
        <w:numPr>
          <w:ilvl w:val="0"/>
          <w:numId w:val="1004"/>
        </w:numPr>
        <w:pStyle w:val="Compact"/>
      </w:pPr>
      <w:r>
        <w:rPr>
          <w:bCs/>
          <w:b/>
        </w:rPr>
        <w:t xml:space="preserve">Last-Mile Delivery Channel:</w:t>
      </w:r>
      <w:r>
        <w:t xml:space="preserve"> </w:t>
      </w:r>
      <w:r>
        <w:t xml:space="preserve">`Delivery Type`. For illustrative calculations, we assume "Light Commercial Van".</w:t>
      </w:r>
    </w:p>
    <w:bookmarkEnd w:id="30"/>
    <w:bookmarkStart w:id="31" w:name="use-phase-scope-3---downstream"/>
    <w:p>
      <w:pPr>
        <w:pStyle w:val="Heading3"/>
      </w:pPr>
      <w:r>
        <w:t xml:space="preserve">3.4 Use Phase (Scope 3 - Downstream)</w:t>
      </w:r>
    </w:p>
    <w:p>
      <w:pPr>
        <w:numPr>
          <w:ilvl w:val="0"/>
          <w:numId w:val="1005"/>
        </w:numPr>
        <w:pStyle w:val="Compact"/>
      </w:pPr>
      <w:r>
        <w:rPr>
          <w:bCs/>
          <w:b/>
        </w:rPr>
        <w:t xml:space="preserve">Product Lifespan:</w:t>
      </w:r>
      <w:r>
        <w:t xml:space="preserve"> </w:t>
      </w:r>
      <w:r>
        <w:t xml:space="preserve">`pvqpkgxzni`. For illustrative calculations, we assume "3 years".</w:t>
      </w:r>
    </w:p>
    <w:p>
      <w:pPr>
        <w:numPr>
          <w:ilvl w:val="0"/>
          <w:numId w:val="1005"/>
        </w:numPr>
        <w:pStyle w:val="Compact"/>
      </w:pPr>
      <w:r>
        <w:rPr>
          <w:bCs/>
          <w:b/>
        </w:rPr>
        <w:t xml:space="preserve">Energy Consumption in Use:</w:t>
      </w:r>
      <w:r>
        <w:t xml:space="preserve"> </w:t>
      </w:r>
      <w:r>
        <w:t xml:space="preserve">`hmxzwjgrqx`. For illustrative calculations, we assume "5 kWh/year".</w:t>
      </w:r>
    </w:p>
    <w:p>
      <w:pPr>
        <w:numPr>
          <w:ilvl w:val="0"/>
          <w:numId w:val="1005"/>
        </w:numPr>
        <w:pStyle w:val="Compact"/>
      </w:pPr>
      <w:r>
        <w:rPr>
          <w:bCs/>
          <w:b/>
        </w:rPr>
        <w:t xml:space="preserve">User Geographic Scope:</w:t>
      </w:r>
      <w:r>
        <w:t xml:space="preserve"> </w:t>
      </w:r>
      <w:r>
        <w:t xml:space="preserve">Europe Focused.</w:t>
      </w:r>
    </w:p>
    <w:bookmarkEnd w:id="31"/>
    <w:bookmarkStart w:id="32" w:name="X2449e76f36fce2c9fec3c701a472f020b80894d"/>
    <w:p>
      <w:pPr>
        <w:pStyle w:val="Heading3"/>
      </w:pPr>
      <w:r>
        <w:t xml:space="preserve">3.5 End-of-Life (EoL) Scenarios (Scope 3 - Downstream)</w:t>
      </w:r>
    </w:p>
    <w:p>
      <w:pPr>
        <w:numPr>
          <w:ilvl w:val="0"/>
          <w:numId w:val="1006"/>
        </w:numPr>
        <w:pStyle w:val="Compact"/>
      </w:pPr>
      <w:r>
        <w:rPr>
          <w:bCs/>
          <w:b/>
        </w:rPr>
        <w:t xml:space="preserve">Recyclability Percentage:</w:t>
      </w:r>
      <w:r>
        <w:t xml:space="preserve"> </w:t>
      </w:r>
      <w:r>
        <w:t xml:space="preserve">`ovrpiiqipm`. For illustrative calculations, we assume "80%".</w:t>
      </w:r>
    </w:p>
    <w:p>
      <w:pPr>
        <w:numPr>
          <w:ilvl w:val="0"/>
          <w:numId w:val="1006"/>
        </w:numPr>
        <w:pStyle w:val="Compact"/>
      </w:pPr>
      <w:r>
        <w:rPr>
          <w:bCs/>
          <w:b/>
        </w:rPr>
        <w:t xml:space="preserve">Circular/Take-back Programs:</w:t>
      </w:r>
      <w:r>
        <w:t xml:space="preserve"> </w:t>
      </w:r>
      <w:r>
        <w:t xml:space="preserve">`tshukflodf`. For illustrative calculations, we assume "Yes, actively managed take-back scheme".</w:t>
      </w:r>
    </w:p>
    <w:bookmarkEnd w:id="32"/>
    <w:bookmarkStart w:id="33" w:name="X13a970cde950d423f40a9e1dad256159bddb29d"/>
    <w:p>
      <w:pPr>
        <w:pStyle w:val="Heading3"/>
      </w:pPr>
      <w:r>
        <w:t xml:space="preserve">3.6 Illustrative Emission Factors (Secondary Data)</w:t>
      </w:r>
    </w:p>
    <w:p>
      <w:pPr>
        <w:pStyle w:val="FirstParagraph"/>
      </w:pPr>
      <w:r>
        <w:t xml:space="preserve">To enable demonstration of calculations, the following industry-standard emission factors are used. These are illustrative and specific regional/technology-specific data would be required for precise assessment.</w:t>
      </w:r>
    </w:p>
    <w:p>
      <w:pPr>
        <w:numPr>
          <w:ilvl w:val="0"/>
          <w:numId w:val="1007"/>
        </w:numPr>
        <w:pStyle w:val="Compact"/>
      </w:pPr>
      <w:r>
        <w:rPr>
          <w:bCs/>
          <w:b/>
        </w:rPr>
        <w:t xml:space="preserve">Electricity Grid Mix (China, for Production):</w:t>
      </w:r>
      <w:r>
        <w:t xml:space="preserve"> </w:t>
      </w:r>
      <w:r>
        <w:t xml:space="preserve">0.60 kg CO2e/kWh.</w:t>
      </w:r>
    </w:p>
    <w:p>
      <w:pPr>
        <w:numPr>
          <w:ilvl w:val="0"/>
          <w:numId w:val="1007"/>
        </w:numPr>
        <w:pStyle w:val="Compact"/>
      </w:pPr>
      <w:r>
        <w:rPr>
          <w:bCs/>
          <w:b/>
        </w:rPr>
        <w:t xml:space="preserve">Electricity Grid Mix (Europe, for Use Phase):</w:t>
      </w:r>
      <w:r>
        <w:t xml:space="preserve"> </w:t>
      </w:r>
      <w:r>
        <w:t xml:space="preserve">0.25 kg CO2e/kWh.</w:t>
      </w:r>
    </w:p>
    <w:p>
      <w:pPr>
        <w:numPr>
          <w:ilvl w:val="0"/>
          <w:numId w:val="1007"/>
        </w:numPr>
        <w:pStyle w:val="Compact"/>
      </w:pPr>
      <w:r>
        <w:rPr>
          <w:bCs/>
          <w:b/>
        </w:rPr>
        <w:t xml:space="preserve">Renewable Electricity:</w:t>
      </w:r>
      <w:r>
        <w:t xml:space="preserve"> </w:t>
      </w:r>
      <w:r>
        <w:t xml:space="preserve">0.0 kg CO2e/kWh (assuming certified renewable energy with zero upstream emissions).</w:t>
      </w:r>
    </w:p>
    <w:p>
      <w:pPr>
        <w:numPr>
          <w:ilvl w:val="0"/>
          <w:numId w:val="1007"/>
        </w:numPr>
        <w:pStyle w:val="Compact"/>
      </w:pPr>
      <w:r>
        <w:rPr>
          <w:bCs/>
          <w:b/>
        </w:rPr>
        <w:t xml:space="preserve">Road Freight (Heavy Truck):</w:t>
      </w:r>
      <w:r>
        <w:t xml:space="preserve"> </w:t>
      </w:r>
      <w:r>
        <w:t xml:space="preserve">0.15 kg CO2e/tkm (tonne-kilometer).</w:t>
      </w:r>
    </w:p>
    <w:p>
      <w:pPr>
        <w:numPr>
          <w:ilvl w:val="0"/>
          <w:numId w:val="1007"/>
        </w:numPr>
        <w:pStyle w:val="Compact"/>
      </w:pPr>
      <w:r>
        <w:rPr>
          <w:bCs/>
          <w:b/>
        </w:rPr>
        <w:t xml:space="preserve">Light Commercial Van (Last-Mile):</w:t>
      </w:r>
      <w:r>
        <w:t xml:space="preserve"> </w:t>
      </w:r>
      <w:r>
        <w:t xml:space="preserve">0.40 kg CO2e/tkm.</w:t>
      </w:r>
    </w:p>
    <w:p>
      <w:pPr>
        <w:numPr>
          <w:ilvl w:val="0"/>
          <w:numId w:val="1007"/>
        </w:numPr>
        <w:pStyle w:val="Compact"/>
      </w:pPr>
      <w:r>
        <w:rPr>
          <w:bCs/>
          <w:b/>
        </w:rPr>
        <w:t xml:space="preserve">Waste to Landfill (Mixed Waste):</w:t>
      </w:r>
      <w:r>
        <w:t xml:space="preserve"> </w:t>
      </w:r>
      <w:r>
        <w:t xml:space="preserve">0.15 kg CO2e/kg.</w:t>
      </w:r>
    </w:p>
    <w:p>
      <w:r>
        <w:pict>
          <v:rect style="width:0;height:1.5pt" o:hralign="center" o:hrstd="t" o:hr="t"/>
        </w:pict>
      </w:r>
    </w:p>
    <w:bookmarkEnd w:id="33"/>
    <w:bookmarkEnd w:id="34"/>
    <w:bookmarkStart w:id="43" w:name="emission-calculation"/>
    <w:p>
      <w:pPr>
        <w:pStyle w:val="Heading2"/>
      </w:pPr>
      <w:r>
        <w:t xml:space="preserve">4. Emission Calculation</w:t>
      </w:r>
    </w:p>
    <w:p>
      <w:pPr>
        <w:pStyle w:val="FirstParagraph"/>
      </w:pPr>
      <w:r>
        <w:t xml:space="preserve">The emissions for each lifecycle stage are calculated using the activity data and the illustrative emission factors. The results are categorized according to the GHG Protocol Scopes.</w:t>
      </w:r>
    </w:p>
    <w:bookmarkStart w:id="35" w:name="X1198c8af25dd1a2ebffa686809674f976343a37"/>
    <w:p>
      <w:pPr>
        <w:pStyle w:val="Heading3"/>
      </w:pPr>
      <w:r>
        <w:t xml:space="preserve">4.1 Material Acquisition &amp; Pre-processing (Scope 3 - Upstream)</w:t>
      </w:r>
    </w:p>
    <w:p>
      <w:pPr>
        <w:pStyle w:val="FirstParagraph"/>
      </w:pPr>
      <w:r>
        <w:t xml:space="preserve">Emissions from materials are directly taken from the "Total Carbon" column of the illustrative BOM data, as specified by the prompt. Total material footprint is the sum of these values.</w:t>
      </w:r>
    </w:p>
    <w:p>
      <w:pPr>
        <w:pStyle w:val="BodyText"/>
      </w:pPr>
      <w:r>
        <w:rPr>
          <w:bCs/>
          <w:b/>
        </w:rPr>
        <w:t xml:space="preserve">Calculation:</w:t>
      </w:r>
    </w:p>
    <w:p>
      <w:pPr>
        <w:numPr>
          <w:ilvl w:val="0"/>
          <w:numId w:val="1008"/>
        </w:numPr>
        <w:pStyle w:val="Compact"/>
      </w:pPr>
      <w:r>
        <w:t xml:space="preserve">Plastic Casing: 0.75 kg CO2e</w:t>
      </w:r>
    </w:p>
    <w:p>
      <w:pPr>
        <w:numPr>
          <w:ilvl w:val="0"/>
          <w:numId w:val="1008"/>
        </w:numPr>
        <w:pStyle w:val="Compact"/>
      </w:pPr>
      <w:r>
        <w:t xml:space="preserve">Circuit Board: 1.50 kg CO2e</w:t>
      </w:r>
    </w:p>
    <w:p>
      <w:pPr>
        <w:numPr>
          <w:ilvl w:val="0"/>
          <w:numId w:val="1008"/>
        </w:numPr>
        <w:pStyle w:val="Compact"/>
      </w:pPr>
      <w:r>
        <w:t xml:space="preserve">Metal Screws: 0.20 kg CO2e</w:t>
      </w:r>
    </w:p>
    <w:p>
      <w:pPr>
        <w:numPr>
          <w:ilvl w:val="0"/>
          <w:numId w:val="1008"/>
        </w:numPr>
        <w:pStyle w:val="Compact"/>
      </w:pPr>
      <w:r>
        <w:t xml:space="preserve">Packaging (Cardboard): 0.20 kg CO2e</w:t>
      </w:r>
    </w:p>
    <w:p>
      <w:pPr>
        <w:pStyle w:val="FirstParagraph"/>
      </w:pPr>
      <w:r>
        <w:rPr>
          <w:bCs/>
          <w:b/>
        </w:rPr>
        <w:t xml:space="preserve">Total Material Emissions:</w:t>
      </w:r>
      <w:r>
        <w:t xml:space="preserve"> </w:t>
      </w:r>
      <w:r>
        <w:t xml:space="preserve">0.75 + 1.50 + 0.20 + 0.20 =</w:t>
      </w:r>
      <w:r>
        <w:t xml:space="preserve"> </w:t>
      </w:r>
      <w:r>
        <w:rPr>
          <w:bCs/>
          <w:b/>
        </w:rPr>
        <w:t xml:space="preserve">2.65 kg CO2e</w:t>
      </w:r>
    </w:p>
    <w:bookmarkEnd w:id="35"/>
    <w:bookmarkStart w:id="36" w:name="Xbf4791d130e2f52fabec5358d294e41abe05006"/>
    <w:p>
      <w:pPr>
        <w:pStyle w:val="Heading3"/>
      </w:pPr>
      <w:r>
        <w:t xml:space="preserve">4.2 Manufacturing (Production Phase) Emissions (Scope 1 &amp; 2)</w:t>
      </w:r>
    </w:p>
    <w:p>
      <w:pPr>
        <w:pStyle w:val="FirstParagraph"/>
      </w:pPr>
      <w:r>
        <w:t xml:space="preserve">Production emissions primarily consist of energy consumption at the factory. These are divided into Scope 2 for purchased electricity, and potentially Scope 1 if direct fuel combustion occurs (not specified, so assumed electricity is dominant).</w:t>
      </w:r>
    </w:p>
    <w:p>
      <w:pPr>
        <w:pStyle w:val="BodyText"/>
      </w:pPr>
      <w:r>
        <w:rPr>
          <w:bCs/>
          <w:b/>
        </w:rPr>
        <w:t xml:space="preserve">Illustrative Parameters:</w:t>
      </w:r>
    </w:p>
    <w:p>
      <w:pPr>
        <w:numPr>
          <w:ilvl w:val="0"/>
          <w:numId w:val="1009"/>
        </w:numPr>
        <w:pStyle w:val="Compact"/>
      </w:pPr>
      <w:r>
        <w:t xml:space="preserve">Energy Intensity (`imjsmjpjjh`): 8.5 kWh/unit</w:t>
      </w:r>
    </w:p>
    <w:p>
      <w:pPr>
        <w:numPr>
          <w:ilvl w:val="0"/>
          <w:numId w:val="1009"/>
        </w:numPr>
        <w:pStyle w:val="Compact"/>
      </w:pPr>
      <w:r>
        <w:t xml:space="preserve">Renewable Energy Usage (`rmwwkeikzn`): 60% (0.60)</w:t>
      </w:r>
    </w:p>
    <w:p>
      <w:pPr>
        <w:numPr>
          <w:ilvl w:val="0"/>
          <w:numId w:val="1009"/>
        </w:numPr>
        <w:pStyle w:val="Compact"/>
      </w:pPr>
      <w:r>
        <w:t xml:space="preserve">Non-renewable energy usage: 1 - 0.60 = 0.40</w:t>
      </w:r>
    </w:p>
    <w:p>
      <w:pPr>
        <w:numPr>
          <w:ilvl w:val="0"/>
          <w:numId w:val="1009"/>
        </w:numPr>
        <w:pStyle w:val="Compact"/>
      </w:pPr>
      <w:r>
        <w:t xml:space="preserve">China Grid Emission Factor: 0.60 kg CO2e/kWh</w:t>
      </w:r>
    </w:p>
    <w:p>
      <w:pPr>
        <w:pStyle w:val="FirstParagraph"/>
      </w:pPr>
      <w:r>
        <w:rPr>
          <w:bCs/>
          <w:b/>
        </w:rPr>
        <w:t xml:space="preserve">Calculation:</w:t>
      </w:r>
      <w:r>
        <w:br/>
      </w:r>
      <w:r>
        <w:t xml:space="preserve">Non-renewable electricity emissions = Energy Intensity × (1 - Renewable Energy Usage) × China Grid Emission Factor</w:t>
      </w:r>
      <w:r>
        <w:br/>
      </w:r>
      <w:r>
        <w:t xml:space="preserve">= 8.5 kWh/unit × 0.40 × 0.60 kg CO2e/kWh</w:t>
      </w:r>
      <w:r>
        <w:br/>
      </w:r>
      <w:r>
        <w:t xml:space="preserve">=</w:t>
      </w:r>
      <w:r>
        <w:t xml:space="preserve"> </w:t>
      </w:r>
      <w:r>
        <w:rPr>
          <w:bCs/>
          <w:b/>
        </w:rPr>
        <w:t xml:space="preserve">2.04 kg CO2e/unit</w:t>
      </w:r>
    </w:p>
    <w:p>
      <w:pPr>
        <w:pStyle w:val="BodyText"/>
      </w:pPr>
      <w:r>
        <w:t xml:space="preserve">Renewable electricity emissions = Energy Intensity × Renewable Energy Usage × Renewable Electricity Emission Factor</w:t>
      </w:r>
      <w:r>
        <w:br/>
      </w:r>
      <w:r>
        <w:t xml:space="preserve">= 8.5 kWh/unit × 0.60 × 0.0 kg CO2e/kWh</w:t>
      </w:r>
      <w:r>
        <w:br/>
      </w:r>
      <w:r>
        <w:t xml:space="preserve">=</w:t>
      </w:r>
      <w:r>
        <w:t xml:space="preserve"> </w:t>
      </w:r>
      <w:r>
        <w:rPr>
          <w:bCs/>
          <w:b/>
        </w:rPr>
        <w:t xml:space="preserve">0.0 kg CO2e/unit</w:t>
      </w:r>
    </w:p>
    <w:p>
      <w:pPr>
        <w:pStyle w:val="BodyText"/>
      </w:pPr>
      <w:r>
        <w:rPr>
          <w:bCs/>
          <w:b/>
        </w:rPr>
        <w:t xml:space="preserve">Total Production Energy Emissions (Scope 2):</w:t>
      </w:r>
      <w:r>
        <w:t xml:space="preserve"> </w:t>
      </w:r>
      <w:r>
        <w:t xml:space="preserve">2.04 + 0.0 =</w:t>
      </w:r>
      <w:r>
        <w:t xml:space="preserve"> </w:t>
      </w:r>
      <w:r>
        <w:rPr>
          <w:bCs/>
          <w:b/>
        </w:rPr>
        <w:t xml:space="preserve">2.04 kg CO2e</w:t>
      </w:r>
    </w:p>
    <w:bookmarkEnd w:id="36"/>
    <w:bookmarkStart w:id="37" w:name="Xa0604b3f50f1ec649b53adaccabc007153b1827"/>
    <w:p>
      <w:pPr>
        <w:pStyle w:val="Heading3"/>
      </w:pPr>
      <w:r>
        <w:t xml:space="preserve">4.3 Transportation Emissions (Scope 3 - Upstream &amp; Downstream)</w:t>
      </w:r>
    </w:p>
    <w:p>
      <w:pPr>
        <w:pStyle w:val="FirstParagraph"/>
      </w:pPr>
      <w:r>
        <w:t xml:space="preserve">Transportation includes both upstream (raw material transport to factory) and downstream (factory to distribution/customer). Assuming `Select Mode` refers to the main transport and `Delivery Type` to last-mile delivery.</w:t>
      </w:r>
    </w:p>
    <w:p>
      <w:pPr>
        <w:pStyle w:val="BodyText"/>
      </w:pPr>
      <w:r>
        <w:rPr>
          <w:bCs/>
          <w:b/>
        </w:rPr>
        <w:t xml:space="preserve">Illustrative Parameters:</w:t>
      </w:r>
    </w:p>
    <w:p>
      <w:pPr>
        <w:numPr>
          <w:ilvl w:val="0"/>
          <w:numId w:val="1010"/>
        </w:numPr>
        <w:pStyle w:val="Compact"/>
      </w:pPr>
      <w:r>
        <w:t xml:space="preserve">Product Mass (illustrative): 0.65 kg (0.00065 tonnes)</w:t>
      </w:r>
    </w:p>
    <w:p>
      <w:pPr>
        <w:numPr>
          <w:ilvl w:val="0"/>
          <w:numId w:val="1010"/>
        </w:numPr>
        <w:pStyle w:val="Compact"/>
      </w:pPr>
      <w:r>
        <w:t xml:space="preserve">Transport Mode (`Select Mode`): Road Freight (Heavy Truck)</w:t>
      </w:r>
    </w:p>
    <w:p>
      <w:pPr>
        <w:numPr>
          <w:ilvl w:val="0"/>
          <w:numId w:val="1010"/>
        </w:numPr>
        <w:pStyle w:val="Compact"/>
      </w:pPr>
      <w:r>
        <w:t xml:space="preserve">Transport Distance (`huyppnjyhe`): 1500 km</w:t>
      </w:r>
    </w:p>
    <w:p>
      <w:pPr>
        <w:numPr>
          <w:ilvl w:val="0"/>
          <w:numId w:val="1010"/>
        </w:numPr>
        <w:pStyle w:val="Compact"/>
      </w:pPr>
      <w:r>
        <w:t xml:space="preserve">Road Freight Emission Factor: 0.15 kg CO2e/tkm</w:t>
      </w:r>
    </w:p>
    <w:p>
      <w:pPr>
        <w:numPr>
          <w:ilvl w:val="0"/>
          <w:numId w:val="1010"/>
        </w:numPr>
        <w:pStyle w:val="Compact"/>
      </w:pPr>
      <w:r>
        <w:t xml:space="preserve">Last-Mile Delivery (`Delivery Type`): Light Commercial Van</w:t>
      </w:r>
    </w:p>
    <w:p>
      <w:pPr>
        <w:numPr>
          <w:ilvl w:val="0"/>
          <w:numId w:val="1010"/>
        </w:numPr>
        <w:pStyle w:val="Compact"/>
      </w:pPr>
      <w:r>
        <w:t xml:space="preserve">Last-Mile Delivery Distance (Assumed for illustration): 100 km</w:t>
      </w:r>
    </w:p>
    <w:p>
      <w:pPr>
        <w:numPr>
          <w:ilvl w:val="0"/>
          <w:numId w:val="1010"/>
        </w:numPr>
        <w:pStyle w:val="Compact"/>
      </w:pPr>
      <w:r>
        <w:t xml:space="preserve">Light Commercial Van Emission Factor: 0.40 kg CO2e/tkm</w:t>
      </w:r>
    </w:p>
    <w:p>
      <w:pPr>
        <w:pStyle w:val="FirstParagraph"/>
      </w:pPr>
      <w:r>
        <w:rPr>
          <w:bCs/>
          <w:b/>
        </w:rPr>
        <w:t xml:space="preserve">Calculation (Main Transport):</w:t>
      </w:r>
      <w:r>
        <w:br/>
      </w:r>
      <w:r>
        <w:t xml:space="preserve">Emissions = Product Mass (tonnes) × Transport Distance (km) × Road Freight Emission Factor (kg CO2e/tkm)</w:t>
      </w:r>
      <w:r>
        <w:br/>
      </w:r>
      <w:r>
        <w:t xml:space="preserve">= 0.00065 tonnes × 1500 km × 0.15 kg CO2e/tkm</w:t>
      </w:r>
      <w:r>
        <w:br/>
      </w:r>
      <w:r>
        <w:t xml:space="preserve">=</w:t>
      </w:r>
      <w:r>
        <w:t xml:space="preserve"> </w:t>
      </w:r>
      <w:r>
        <w:rPr>
          <w:bCs/>
          <w:b/>
        </w:rPr>
        <w:t xml:space="preserve">0.146 kg CO2e</w:t>
      </w:r>
    </w:p>
    <w:p>
      <w:pPr>
        <w:pStyle w:val="BodyText"/>
      </w:pPr>
      <w:r>
        <w:rPr>
          <w:bCs/>
          <w:b/>
        </w:rPr>
        <w:t xml:space="preserve">Calculation (Last-Mile Delivery - illustrative):</w:t>
      </w:r>
      <w:r>
        <w:br/>
      </w:r>
      <w:r>
        <w:t xml:space="preserve">Emissions = Product Mass (tonnes) × Last-Mile Distance (km) × Light Commercial Van Emission Factor (kg CO2e/tkm)</w:t>
      </w:r>
      <w:r>
        <w:br/>
      </w:r>
      <w:r>
        <w:t xml:space="preserve">= 0.00065 tonnes × 100 km × 0.40 kg CO2e/tkm</w:t>
      </w:r>
      <w:r>
        <w:br/>
      </w:r>
      <w:r>
        <w:t xml:space="preserve">=</w:t>
      </w:r>
      <w:r>
        <w:t xml:space="preserve"> </w:t>
      </w:r>
      <w:r>
        <w:rPr>
          <w:bCs/>
          <w:b/>
        </w:rPr>
        <w:t xml:space="preserve">0.026 kg CO2e</w:t>
      </w:r>
    </w:p>
    <w:p>
      <w:pPr>
        <w:pStyle w:val="BodyText"/>
      </w:pPr>
      <w:r>
        <w:rPr>
          <w:bCs/>
          <w:b/>
        </w:rPr>
        <w:t xml:space="preserve">Total Transportation Emissions (Scope 3):</w:t>
      </w:r>
      <w:r>
        <w:t xml:space="preserve"> </w:t>
      </w:r>
      <w:r>
        <w:t xml:space="preserve">0.146 + 0.026 =</w:t>
      </w:r>
      <w:r>
        <w:t xml:space="preserve"> </w:t>
      </w:r>
      <w:r>
        <w:rPr>
          <w:bCs/>
          <w:b/>
        </w:rPr>
        <w:t xml:space="preserve">0.172 kg CO2e</w:t>
      </w:r>
    </w:p>
    <w:bookmarkEnd w:id="37"/>
    <w:bookmarkStart w:id="38" w:name="use-phase-emissions-scope-3---downstream"/>
    <w:p>
      <w:pPr>
        <w:pStyle w:val="Heading3"/>
      </w:pPr>
      <w:r>
        <w:t xml:space="preserve">4.4 Use Phase Emissions (Scope 3 - Downstream)</w:t>
      </w:r>
    </w:p>
    <w:p>
      <w:pPr>
        <w:pStyle w:val="FirstParagraph"/>
      </w:pPr>
      <w:r>
        <w:t xml:space="preserve">The use phase emissions are calculated based on the product\'s lifespan and annual energy consumption.</w:t>
      </w:r>
    </w:p>
    <w:p>
      <w:pPr>
        <w:pStyle w:val="BodyText"/>
      </w:pPr>
      <w:r>
        <w:rPr>
          <w:bCs/>
          <w:b/>
        </w:rPr>
        <w:t xml:space="preserve">Illustrative Parameters:</w:t>
      </w:r>
    </w:p>
    <w:p>
      <w:pPr>
        <w:numPr>
          <w:ilvl w:val="0"/>
          <w:numId w:val="1011"/>
        </w:numPr>
        <w:pStyle w:val="Compact"/>
      </w:pPr>
      <w:r>
        <w:t xml:space="preserve">Product Lifespan (`pvqpkgxzni`): 3 years</w:t>
      </w:r>
    </w:p>
    <w:p>
      <w:pPr>
        <w:numPr>
          <w:ilvl w:val="0"/>
          <w:numId w:val="1011"/>
        </w:numPr>
        <w:pStyle w:val="Compact"/>
      </w:pPr>
      <w:r>
        <w:t xml:space="preserve">Energy Consumption in Use (`hmxzwjgrqx`): 5 kWh/year</w:t>
      </w:r>
    </w:p>
    <w:p>
      <w:pPr>
        <w:numPr>
          <w:ilvl w:val="0"/>
          <w:numId w:val="1011"/>
        </w:numPr>
        <w:pStyle w:val="Compact"/>
      </w:pPr>
      <w:r>
        <w:t xml:space="preserve">Europe Grid Emission Factor: 0.25 kg CO2e/kWh</w:t>
      </w:r>
    </w:p>
    <w:p>
      <w:pPr>
        <w:pStyle w:val="FirstParagraph"/>
      </w:pPr>
      <w:r>
        <w:rPr>
          <w:bCs/>
          <w:b/>
        </w:rPr>
        <w:t xml:space="preserve">Calculation:</w:t>
      </w:r>
      <w:r>
        <w:br/>
      </w:r>
      <w:r>
        <w:t xml:space="preserve">Emissions = Product Lifespan × Energy Consumption in Use × Europe Grid Emission Factor</w:t>
      </w:r>
      <w:r>
        <w:br/>
      </w:r>
      <w:r>
        <w:t xml:space="preserve">= 3 years × 5 kWh/year × 0.25 kg CO2e/kWh</w:t>
      </w:r>
      <w:r>
        <w:br/>
      </w:r>
      <w:r>
        <w:t xml:space="preserve">=</w:t>
      </w:r>
      <w:r>
        <w:t xml:space="preserve"> </w:t>
      </w:r>
      <w:r>
        <w:rPr>
          <w:bCs/>
          <w:b/>
        </w:rPr>
        <w:t xml:space="preserve">3.75 kg CO2e</w:t>
      </w:r>
    </w:p>
    <w:p>
      <w:pPr>
        <w:pStyle w:val="BodyText"/>
      </w:pPr>
      <w:r>
        <w:rPr>
          <w:bCs/>
          <w:b/>
        </w:rPr>
        <w:t xml:space="preserve">Total Use Phase Emissions (Scope 3):</w:t>
      </w:r>
      <w:r>
        <w:t xml:space="preserve"> </w:t>
      </w:r>
      <w:r>
        <w:rPr>
          <w:bCs/>
          <w:b/>
        </w:rPr>
        <w:t xml:space="preserve">3.75 kg CO2e</w:t>
      </w:r>
    </w:p>
    <w:bookmarkEnd w:id="38"/>
    <w:bookmarkStart w:id="39" w:name="X5f6c083c71090b4b679b6b629acc5495018e927"/>
    <w:p>
      <w:pPr>
        <w:pStyle w:val="Heading3"/>
      </w:pPr>
      <w:r>
        <w:t xml:space="preserve">4.5 End-of-Life (EoL) Emissions and Benefits (Scope 3 - Downstream)</w:t>
      </w:r>
    </w:p>
    <w:p>
      <w:pPr>
        <w:pStyle w:val="FirstParagraph"/>
      </w:pPr>
      <w:r>
        <w:t xml:space="preserve">EoL emissions consider the fate of the product at the end of its life, including recyclability and disposal.</w:t>
      </w:r>
    </w:p>
    <w:p>
      <w:pPr>
        <w:pStyle w:val="BodyText"/>
      </w:pPr>
      <w:r>
        <w:rPr>
          <w:bCs/>
          <w:b/>
        </w:rPr>
        <w:t xml:space="preserve">Illustrative Parameters:</w:t>
      </w:r>
    </w:p>
    <w:p>
      <w:pPr>
        <w:numPr>
          <w:ilvl w:val="0"/>
          <w:numId w:val="1012"/>
        </w:numPr>
        <w:pStyle w:val="Compact"/>
      </w:pPr>
      <w:r>
        <w:t xml:space="preserve">Total Product Mass (illustrative): 0.65 kg</w:t>
      </w:r>
    </w:p>
    <w:p>
      <w:pPr>
        <w:numPr>
          <w:ilvl w:val="0"/>
          <w:numId w:val="1012"/>
        </w:numPr>
        <w:pStyle w:val="Compact"/>
      </w:pPr>
      <w:r>
        <w:t xml:space="preserve">Recyclability Percentage (`ovrpiiqipm`): 80% (0.80)</w:t>
      </w:r>
    </w:p>
    <w:p>
      <w:pPr>
        <w:numPr>
          <w:ilvl w:val="0"/>
          <w:numId w:val="1012"/>
        </w:numPr>
        <w:pStyle w:val="Compact"/>
      </w:pPr>
      <w:r>
        <w:t xml:space="preserve">Mass to Recycling: 0.65 kg × 0.80 = 0.52 kg</w:t>
      </w:r>
    </w:p>
    <w:p>
      <w:pPr>
        <w:numPr>
          <w:ilvl w:val="0"/>
          <w:numId w:val="1012"/>
        </w:numPr>
        <w:pStyle w:val="Compact"/>
      </w:pPr>
      <w:r>
        <w:t xml:space="preserve">Mass to Landfill: 0.65 kg × (1 - 0.80) = 0.13 kg</w:t>
      </w:r>
    </w:p>
    <w:p>
      <w:pPr>
        <w:numPr>
          <w:ilvl w:val="0"/>
          <w:numId w:val="1012"/>
        </w:numPr>
        <w:pStyle w:val="Compact"/>
      </w:pPr>
      <w:r>
        <w:t xml:space="preserve">Waste to Landfill Emission Factor: 0.15 kg CO2e/kg</w:t>
      </w:r>
    </w:p>
    <w:p>
      <w:pPr>
        <w:numPr>
          <w:ilvl w:val="0"/>
          <w:numId w:val="1012"/>
        </w:numPr>
        <w:pStyle w:val="Compact"/>
      </w:pPr>
      <w:r>
        <w:t xml:space="preserve">Circular/Take-back Programs (`tshukflodf`): Yes, actively managed take-back scheme.</w:t>
      </w:r>
    </w:p>
    <w:p>
      <w:pPr>
        <w:pStyle w:val="FirstParagraph"/>
      </w:pPr>
      <w:r>
        <w:rPr>
          <w:bCs/>
          <w:b/>
        </w:rPr>
        <w:t xml:space="preserve">Calculation:</w:t>
      </w:r>
      <w:r>
        <w:br/>
      </w:r>
      <w:r>
        <w:t xml:space="preserve">Emissions from Landfilling = Mass to Landfill × Waste to Landfill Emission Factor</w:t>
      </w:r>
      <w:r>
        <w:br/>
      </w:r>
      <w:r>
        <w:t xml:space="preserve">= 0.13 kg × 0.15 kg CO2e/kg</w:t>
      </w:r>
      <w:r>
        <w:br/>
      </w:r>
      <w:r>
        <w:t xml:space="preserve">=</w:t>
      </w:r>
      <w:r>
        <w:t xml:space="preserve"> </w:t>
      </w:r>
      <w:r>
        <w:rPr>
          <w:bCs/>
          <w:b/>
        </w:rPr>
        <w:t xml:space="preserve">0.0195 kg CO2e</w:t>
      </w:r>
    </w:p>
    <w:p>
      <w:pPr>
        <w:pStyle w:val="BodyText"/>
      </w:pPr>
      <w:r>
        <w:t xml:space="preserve">For the recycled portion (0.52 kg), the impact is complex. Under the cut-off approach (typical for "factory_gate" system boundary but extended for EoL), the emissions for recycling the material itself are typically allocated to the next product cycle, and this product avoids the virgin material production. However, without specific avoided emission factors for recycled materials in this context, we account only for the emissions from disposal of the non-recycled portion. The "Circular/Take-back Programs" suggest active management which could lead to avoided emissions, but quantifiable data is needed for precise calculation.</w:t>
      </w:r>
    </w:p>
    <w:p>
      <w:pPr>
        <w:pStyle w:val="BodyText"/>
      </w:pPr>
      <w:r>
        <w:rPr>
          <w:bCs/>
          <w:b/>
        </w:rPr>
        <w:t xml:space="preserve">Total End-of-Life Emissions (Scope 3):</w:t>
      </w:r>
      <w:r>
        <w:t xml:space="preserve"> </w:t>
      </w:r>
      <w:r>
        <w:rPr>
          <w:bCs/>
          <w:b/>
        </w:rPr>
        <w:t xml:space="preserve">0.0195 kg CO2e</w:t>
      </w:r>
    </w:p>
    <w:bookmarkEnd w:id="39"/>
    <w:bookmarkStart w:id="40" w:name="total-product-carbon-footprint"/>
    <w:p>
      <w:pPr>
        <w:pStyle w:val="Heading3"/>
      </w:pPr>
      <w:r>
        <w:t xml:space="preserve">4.6 Total Product Carbon Footprint</w:t>
      </w:r>
    </w:p>
    <w:p>
      <w:pPr>
        <w:pStyle w:val="FirstParagraph"/>
      </w:pPr>
      <w:r>
        <w:t xml:space="preserve">Summing up the emissions from all lifecycle stages:</w:t>
      </w:r>
    </w:p>
    <w:p>
      <w:pPr>
        <w:numPr>
          <w:ilvl w:val="0"/>
          <w:numId w:val="1013"/>
        </w:numPr>
        <w:pStyle w:val="Compact"/>
      </w:pPr>
      <w:r>
        <w:t xml:space="preserve">Material Acquisition: 2.65 kg CO2e</w:t>
      </w:r>
    </w:p>
    <w:p>
      <w:pPr>
        <w:numPr>
          <w:ilvl w:val="0"/>
          <w:numId w:val="1013"/>
        </w:numPr>
        <w:pStyle w:val="Compact"/>
      </w:pPr>
      <w:r>
        <w:t xml:space="preserve">Manufacturing (Energy): 2.04 kg CO2e</w:t>
      </w:r>
    </w:p>
    <w:p>
      <w:pPr>
        <w:numPr>
          <w:ilvl w:val="0"/>
          <w:numId w:val="1013"/>
        </w:numPr>
        <w:pStyle w:val="Compact"/>
      </w:pPr>
      <w:r>
        <w:t xml:space="preserve">Transportation: 0.172 kg CO2e</w:t>
      </w:r>
    </w:p>
    <w:p>
      <w:pPr>
        <w:numPr>
          <w:ilvl w:val="0"/>
          <w:numId w:val="1013"/>
        </w:numPr>
        <w:pStyle w:val="Compact"/>
      </w:pPr>
      <w:r>
        <w:t xml:space="preserve">Use Phase: 3.75 kg CO2e</w:t>
      </w:r>
    </w:p>
    <w:p>
      <w:pPr>
        <w:numPr>
          <w:ilvl w:val="0"/>
          <w:numId w:val="1013"/>
        </w:numPr>
        <w:pStyle w:val="Compact"/>
      </w:pPr>
      <w:r>
        <w:t xml:space="preserve">End-of-Life: 0.0195 kg CO2e</w:t>
      </w:r>
    </w:p>
    <w:p>
      <w:pPr>
        <w:pStyle w:val="FirstParagraph"/>
      </w:pPr>
      <w:r>
        <w:rPr>
          <w:bCs/>
          <w:b/>
        </w:rPr>
        <w:t xml:space="preserve">Total PCF for ukvwkkxtde:</w:t>
      </w:r>
      <w:r>
        <w:t xml:space="preserve"> </w:t>
      </w:r>
      <w:r>
        <w:t xml:space="preserve">2.65 + 2.04 + 0.172 + 3.75 + 0.0195 =</w:t>
      </w:r>
      <w:r>
        <w:t xml:space="preserve"> </w:t>
      </w:r>
      <w:r>
        <w:rPr>
          <w:bCs/>
          <w:b/>
        </w:rPr>
        <w:t xml:space="preserve">8.6315 kg CO2e</w:t>
      </w:r>
    </w:p>
    <w:bookmarkEnd w:id="40"/>
    <w:bookmarkStart w:id="41" w:name="ghg-protocol-scope-summary"/>
    <w:p>
      <w:pPr>
        <w:pStyle w:val="Heading3"/>
      </w:pPr>
      <w:r>
        <w:t xml:space="preserve">4.7 GHG Protocol Scope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(N/A in this illustrative model)</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2.04</w:t>
            </w:r>
          </w:p>
        </w:tc>
        <w:tc>
          <w:tcPr/>
          <w:p>
            <w:pPr>
              <w:pStyle w:val="Compact"/>
              <w:jc w:val="left"/>
            </w:pPr>
            <w:r>
              <w:t xml:space="preserve">23.6%</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2.65</w:t>
            </w:r>
          </w:p>
        </w:tc>
        <w:tc>
          <w:tcPr/>
          <w:p>
            <w:pPr>
              <w:pStyle w:val="Compact"/>
              <w:jc w:val="left"/>
            </w:pPr>
            <w:r>
              <w:t xml:space="preserve">30.7%</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0.146</w:t>
            </w:r>
          </w:p>
        </w:tc>
        <w:tc>
          <w:tcPr/>
          <w:p>
            <w:pPr>
              <w:pStyle w:val="Compact"/>
              <w:jc w:val="left"/>
            </w:pPr>
            <w:r>
              <w:t xml:space="preserve">1.7%</w:t>
            </w:r>
          </w:p>
        </w:tc>
      </w:tr>
      <w:tr>
        <w:tc>
          <w:tcPr>
            <w:gridSpan w:val="1"/>
            <w:vMerge w:val="continue"/>
          </w:tcPr>
          <w:p>
            <w:pPr/>
          </w:p>
        </w:tc>
        <w:tc>
          <w:tcPr/>
          <w:p>
            <w:pPr>
              <w:pStyle w:val="Compact"/>
              <w:jc w:val="left"/>
            </w:pPr>
            <w:r>
              <w:t xml:space="preserve">Downstream (Transportation - Last Mile)</w:t>
            </w:r>
          </w:p>
        </w:tc>
        <w:tc>
          <w:tcPr/>
          <w:p>
            <w:pPr>
              <w:pStyle w:val="Compact"/>
              <w:jc w:val="left"/>
            </w:pPr>
            <w:r>
              <w:t xml:space="preserve">0.026</w:t>
            </w:r>
          </w:p>
        </w:tc>
        <w:tc>
          <w:tcPr/>
          <w:p>
            <w:pPr>
              <w:pStyle w:val="Compact"/>
              <w:jc w:val="left"/>
            </w:pPr>
            <w:r>
              <w:t xml:space="preserve">0.3%</w:t>
            </w:r>
          </w:p>
        </w:tc>
      </w:tr>
      <w:tr>
        <w:tc>
          <w:tcPr>
            <w:gridSpan w:val="1"/>
            <w:vMerge w:val="continue"/>
          </w:tcPr>
          <w:p>
            <w:pPr/>
          </w:p>
        </w:tc>
        <w:tc>
          <w:tcPr/>
          <w:p>
            <w:pPr>
              <w:pStyle w:val="Compact"/>
              <w:jc w:val="left"/>
            </w:pPr>
            <w:r>
              <w:t xml:space="preserve">Downstream (Use Phase &amp; EoL)</w:t>
            </w:r>
          </w:p>
        </w:tc>
        <w:tc>
          <w:tcPr/>
          <w:p>
            <w:pPr>
              <w:pStyle w:val="Compact"/>
              <w:jc w:val="left"/>
            </w:pPr>
            <w:r>
              <w:t xml:space="preserve">3.75 + 0.0195 = 3.7695</w:t>
            </w:r>
          </w:p>
        </w:tc>
        <w:tc>
          <w:tcPr/>
          <w:p>
            <w:pPr>
              <w:pStyle w:val="Compact"/>
              <w:jc w:val="left"/>
            </w:pPr>
            <w:r>
              <w:t xml:space="preserve">43.7%</w:t>
            </w:r>
          </w:p>
        </w:tc>
      </w:tr>
      <w:tr>
        <w:tc>
          <w:tcPr>
            <w:gridSpan w:val="2"/>
          </w:tcPr>
          <w:p>
            <w:pPr>
              <w:pStyle w:val="Compact"/>
              <w:jc w:val="left"/>
            </w:pPr>
            <w:r>
              <w:rPr>
                <w:bCs/>
                <w:b/>
              </w:rPr>
              <w:t xml:space="preserve">Total PCF</w:t>
            </w:r>
          </w:p>
        </w:tc>
        <w:tc>
          <w:tcPr/>
          <w:p>
            <w:pPr>
              <w:pStyle w:val="Compact"/>
              <w:jc w:val="left"/>
            </w:pPr>
            <w:r>
              <w:rPr>
                <w:bCs/>
                <w:b/>
              </w:rPr>
              <w:t xml:space="preserve">8.6315</w:t>
            </w:r>
          </w:p>
        </w:tc>
        <w:tc>
          <w:tcPr/>
          <w:p>
            <w:pPr>
              <w:pStyle w:val="Compact"/>
              <w:jc w:val="left"/>
            </w:pPr>
            <w:r>
              <w:rPr>
                <w:bCs/>
                <w:b/>
              </w:rPr>
              <w:t xml:space="preserve">100.0%</w:t>
            </w:r>
          </w:p>
        </w:tc>
      </w:tr>
    </w:tbl>
    <w:p>
      <w:pPr>
        <w:pStyle w:val="BodyText"/>
      </w:pPr>
      <w:r>
        <w:rPr>
          <w:bCs/>
          <w:b/>
        </w:rPr>
        <w:t xml:space="preserve">Scope 3 Coverage:</w:t>
      </w:r>
      <w:r>
        <w:t xml:space="preserve"> </w:t>
      </w:r>
      <w:r>
        <w:t xml:space="preserve">In this illustrative analysis, Scope 3 emissions account for (2.65 + 0.146 + 0.026 + 3.7695) / 8.6315 = 77.9%. To achieve 95% coverage, further detailed analysis of all upstream and downstream activities (e.g., capital goods, business travel, employee commuting, waste generated in operations, investments, etc.) would be required, as per the 2026 GHG Protocol requirements. The current analysis covers major product-related Scope 3 categories.</w:t>
      </w:r>
    </w:p>
    <w:bookmarkEnd w:id="41"/>
    <w:bookmarkStart w:id="42" w:name="X504f4a86e01fdcfa46a4589bb1b5e0cfaad8629"/>
    <w:p>
      <w:pPr>
        <w:pStyle w:val="Heading3"/>
      </w:pPr>
      <w:r>
        <w:t xml:space="preserve">4.8 2026 Land Sector and Removals (LSR) Standard Update</w:t>
      </w:r>
    </w:p>
    <w:p>
      <w:pPr>
        <w:pStyle w:val="FirstParagraph"/>
      </w:pPr>
      <w:r>
        <w:t xml:space="preserve">The 2026 LSR Standard for land use and carbon removals would be applied by:</w:t>
      </w:r>
    </w:p>
    <w:p>
      <w:pPr>
        <w:numPr>
          <w:ilvl w:val="0"/>
          <w:numId w:val="1014"/>
        </w:numPr>
        <w:pStyle w:val="Compact"/>
      </w:pPr>
      <w:r>
        <w:t xml:space="preserve">Quantifying GHG emissions and removals associated with land use change and land management practices throughout the product\'s supply chain (e.g., from agricultural feedstocks for bio-based materials, or forestry for wood/paper products).</w:t>
      </w:r>
    </w:p>
    <w:p>
      <w:pPr>
        <w:numPr>
          <w:ilvl w:val="0"/>
          <w:numId w:val="1014"/>
        </w:numPr>
        <w:pStyle w:val="Compact"/>
      </w:pPr>
      <w:r>
        <w:t xml:space="preserve">Accounting for biogenic carbon flows, including sequestration and emissions from biomass.</w:t>
      </w:r>
    </w:p>
    <w:p>
      <w:pPr>
        <w:numPr>
          <w:ilvl w:val="0"/>
          <w:numId w:val="1014"/>
        </w:numPr>
        <w:pStyle w:val="Compact"/>
      </w:pPr>
      <w:r>
        <w:t xml:space="preserve">Requiring transparent reporting on the quantity, location, and permanence of removals.</w:t>
      </w:r>
    </w:p>
    <w:p>
      <w:pPr>
        <w:pStyle w:val="FirstParagraph"/>
      </w:pPr>
      <w:r>
        <w:t xml:space="preserve">In this illustrative report, specific LSR impacts were not directly derivable from the given parameters. A full application would involve tracing the land-use impacts of "Paper &amp; Pulp" and other bio-based materials if present, as well as any land-intensive production processes.</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this illustrative analysis, the primary emission hotspots for ukvwkkxtde are:</w:t>
      </w:r>
    </w:p>
    <w:p>
      <w:pPr>
        <w:numPr>
          <w:ilvl w:val="0"/>
          <w:numId w:val="1015"/>
        </w:numPr>
        <w:pStyle w:val="Compact"/>
      </w:pPr>
      <w:r>
        <w:rPr>
          <w:bCs/>
          <w:b/>
        </w:rPr>
        <w:t xml:space="preserve">Use Phase (43.7%):</w:t>
      </w:r>
      <w:r>
        <w:t xml:space="preserve"> </w:t>
      </w:r>
      <w:r>
        <w:t xml:space="preserve">Energy consumption during the product\'s lifespan is the largest contributor, highlighting the importance of energy-efficient design and promoting renewable energy adoption by end-users.</w:t>
      </w:r>
    </w:p>
    <w:p>
      <w:pPr>
        <w:numPr>
          <w:ilvl w:val="0"/>
          <w:numId w:val="1015"/>
        </w:numPr>
        <w:pStyle w:val="Compact"/>
      </w:pPr>
      <w:r>
        <w:rPr>
          <w:bCs/>
          <w:b/>
        </w:rPr>
        <w:t xml:space="preserve">Material Acquisition (30.7%):</w:t>
      </w:r>
      <w:r>
        <w:t xml:space="preserve"> </w:t>
      </w:r>
      <w:r>
        <w:t xml:space="preserve">The raw materials, particularly the "Circuit Board" and "Plastic Casing" in our illustrative BOM, represent a significant portion of the footprint. This emphasizes the need for sustainable sourcing, material efficiency, and exploring lower-carbon alternatives or recycled content.</w:t>
      </w:r>
    </w:p>
    <w:p>
      <w:pPr>
        <w:numPr>
          <w:ilvl w:val="0"/>
          <w:numId w:val="1015"/>
        </w:numPr>
        <w:pStyle w:val="Compact"/>
      </w:pPr>
      <w:r>
        <w:rPr>
          <w:bCs/>
          <w:b/>
        </w:rPr>
        <w:t xml:space="preserve">Manufacturing (Energy) (23.6%):</w:t>
      </w:r>
      <w:r>
        <w:t xml:space="preserve"> </w:t>
      </w:r>
      <w:r>
        <w:t xml:space="preserve">The energy consumed during production in China is substantial, underscoring the benefit of increasing renewable energy penetration at manufacturing facilities.</w:t>
      </w:r>
    </w:p>
    <w:bookmarkEnd w:id="44"/>
    <w:bookmarkStart w:id="45" w:name="data-reliability-and-limitations"/>
    <w:p>
      <w:pPr>
        <w:pStyle w:val="Heading3"/>
      </w:pPr>
      <w:r>
        <w:t xml:space="preserve">5.2 Data Reliability and Limitations</w:t>
      </w:r>
    </w:p>
    <w:p>
      <w:pPr>
        <w:pStyle w:val="FirstParagraph"/>
      </w:pPr>
      <w:r>
        <w:t xml:space="preserve">The reliability of this PCF analysis is contingent on the accuracy of the underlying data. As noted, several key parameters were provided as textual identifiers. For the purpose of demonstrating methodology, illustrative numerical values were assumed for these. A truly precise PCF would necessitate:</w:t>
      </w:r>
    </w:p>
    <w:p>
      <w:pPr>
        <w:numPr>
          <w:ilvl w:val="0"/>
          <w:numId w:val="1016"/>
        </w:numPr>
        <w:pStyle w:val="Compact"/>
      </w:pPr>
      <w:r>
        <w:t xml:space="preserve">Specific, verifiable numerical data for all parameters (e.g., actual transport modes, distances, precise energy consumption figures, and region-specific grid emission factors).</w:t>
      </w:r>
    </w:p>
    <w:p>
      <w:pPr>
        <w:numPr>
          <w:ilvl w:val="0"/>
          <w:numId w:val="1016"/>
        </w:numPr>
        <w:pStyle w:val="Compact"/>
      </w:pPr>
      <w:r>
        <w:t xml:space="preserve">Detailed, primary data for the full Bill of Materials, including actual emission factors for each component\'s production.</w:t>
      </w:r>
    </w:p>
    <w:p>
      <w:pPr>
        <w:numPr>
          <w:ilvl w:val="0"/>
          <w:numId w:val="1016"/>
        </w:numPr>
        <w:pStyle w:val="Compact"/>
      </w:pPr>
      <w:r>
        <w:t xml:space="preserve">More granular data for Scope 3 categories to ensure comprehensive coverage beyond the product\'s immediate lifecycle.</w:t>
      </w:r>
    </w:p>
    <w:p>
      <w:pPr>
        <w:numPr>
          <w:ilvl w:val="0"/>
          <w:numId w:val="1016"/>
        </w:numPr>
        <w:pStyle w:val="Compact"/>
      </w:pPr>
      <w:r>
        <w:t xml:space="preserve">Quantification of biogenic carbon flows and land-use impacts for full LSR Standard compliance.</w:t>
      </w:r>
    </w:p>
    <w:p>
      <w:pPr>
        <w:pStyle w:val="FirstParagraph"/>
      </w:pPr>
      <w:r>
        <w:t xml:space="preserve">The illustrative emission factors used are based on industry averages and may not perfectly reflect the specific operational contexts of dmtknxumws or its supply chain partners.</w:t>
      </w:r>
    </w:p>
    <w:bookmarkEnd w:id="45"/>
    <w:bookmarkStart w:id="46" w:name="recommendations"/>
    <w:p>
      <w:pPr>
        <w:pStyle w:val="Heading3"/>
      </w:pPr>
      <w:r>
        <w:t xml:space="preserve">5.3 Recommendations</w:t>
      </w:r>
    </w:p>
    <w:p>
      <w:pPr>
        <w:pStyle w:val="FirstParagraph"/>
      </w:pPr>
      <w:r>
        <w:t xml:space="preserve">To reduce the carbon footprint of ukvwkkxtde and enhance the accuracy of future PCF analyses, dmtknxumws should consider:</w:t>
      </w:r>
    </w:p>
    <w:p>
      <w:pPr>
        <w:numPr>
          <w:ilvl w:val="0"/>
          <w:numId w:val="1017"/>
        </w:numPr>
        <w:pStyle w:val="Compact"/>
      </w:pPr>
      <w:r>
        <w:rPr>
          <w:bCs/>
          <w:b/>
        </w:rPr>
        <w:t xml:space="preserve">Detailed Data Collection:</w:t>
      </w:r>
      <w:r>
        <w:t xml:space="preserve"> </w:t>
      </w:r>
      <w:r>
        <w:t xml:space="preserve">Prioritize collecting primary data for all material inputs, transport logistics (modes, distances, loads), and energy consumption at production facilities and during the use phase.</w:t>
      </w:r>
    </w:p>
    <w:p>
      <w:pPr>
        <w:numPr>
          <w:ilvl w:val="0"/>
          <w:numId w:val="1017"/>
        </w:numPr>
        <w:pStyle w:val="Compact"/>
      </w:pPr>
      <w:r>
        <w:rPr>
          <w:bCs/>
          <w:b/>
        </w:rPr>
        <w:t xml:space="preserve">Energy Efficiency &amp; Renewables:</w:t>
      </w:r>
      <w:r>
        <w:t xml:space="preserve"> </w:t>
      </w:r>
      <w:r>
        <w:t xml:space="preserve">Invest in energy efficiency measures in manufacturing and actively increase the share of renewable energy sourcing, especially in China. Encourage product users to utilize renewable energy where possible.</w:t>
      </w:r>
    </w:p>
    <w:p>
      <w:pPr>
        <w:numPr>
          <w:ilvl w:val="0"/>
          <w:numId w:val="1017"/>
        </w:numPr>
        <w:pStyle w:val="Compact"/>
      </w:pPr>
      <w:r>
        <w:rPr>
          <w:bCs/>
          <w:b/>
        </w:rPr>
        <w:t xml:space="preserve">Sustainable Material Sourcing:</w:t>
      </w:r>
      <w:r>
        <w:t xml:space="preserve"> </w:t>
      </w:r>
      <w:r>
        <w:t xml:space="preserve">Explore materials with lower embedded carbon, increased recycled content, and certified sustainable origins for components like plastics, electronics, and packaging.</w:t>
      </w:r>
    </w:p>
    <w:p>
      <w:pPr>
        <w:numPr>
          <w:ilvl w:val="0"/>
          <w:numId w:val="1017"/>
        </w:numPr>
        <w:pStyle w:val="Compact"/>
      </w:pPr>
      <w:r>
        <w:rPr>
          <w:bCs/>
          <w:b/>
        </w:rPr>
        <w:t xml:space="preserve">Optimized Logistics:</w:t>
      </w:r>
      <w:r>
        <w:t xml:space="preserve"> </w:t>
      </w:r>
      <w:r>
        <w:t xml:space="preserve">Analyze and optimize transport routes, modes (e.g., shifting from air to sea/rail where feasible), and vehicle utilization to reduce transport-related emissions.</w:t>
      </w:r>
    </w:p>
    <w:p>
      <w:pPr>
        <w:numPr>
          <w:ilvl w:val="0"/>
          <w:numId w:val="1017"/>
        </w:numPr>
        <w:pStyle w:val="Compact"/>
      </w:pPr>
      <w:r>
        <w:rPr>
          <w:bCs/>
          <w:b/>
        </w:rPr>
        <w:t xml:space="preserve">Circular Economy Integration:</w:t>
      </w:r>
      <w:r>
        <w:t xml:space="preserve"> </w:t>
      </w:r>
      <w:r>
        <w:t xml:space="preserve">Further develop and quantify the impact of circular/take-back programs, potentially through Extended Producer Responsibility (EPR) schemes, to maximize recycling and minimize waste, and capture avoided emissions benefits.</w:t>
      </w:r>
    </w:p>
    <w:p>
      <w:pPr>
        <w:numPr>
          <w:ilvl w:val="0"/>
          <w:numId w:val="1017"/>
        </w:numPr>
        <w:pStyle w:val="Compact"/>
      </w:pPr>
      <w:r>
        <w:rPr>
          <w:bCs/>
          <w:b/>
        </w:rPr>
        <w:t xml:space="preserve">Life Cycle Design:</w:t>
      </w:r>
      <w:r>
        <w:t xml:space="preserve"> </w:t>
      </w:r>
      <w:r>
        <w:t xml:space="preserve">Integrate PCF insights into product design and development to prioritize materials, manufacturing processes, and use-phase energy consumption with lower environmental impacts.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ukvwkkxtde</dc:title>
  <dc:creator/>
  <dc:description>High-detail Product Carbon Footprint (PCF) analysis for ukvwkkxtde, following GHG Protocol, by Senior Sustainability Consultant hygyejmdzq for dmtknxumws.</dc:description>
  <dc:language>en</dc:language>
  <cp:keywords/>
  <dcterms:created xsi:type="dcterms:W3CDTF">2026-07-14T23:52:30Z</dcterms:created>
  <dcterms:modified xsi:type="dcterms:W3CDTF">2026-07-14T23:52:30Z</dcterms:modified>
</cp:coreProperties>
</file>

<file path=docProps/custom.xml><?xml version="1.0" encoding="utf-8"?>
<Properties xmlns="http://schemas.openxmlformats.org/officeDocument/2006/custom-properties" xmlns:vt="http://schemas.openxmlformats.org/officeDocument/2006/docPropsVTypes"/>
</file>