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ujqxfkmqjg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ujqxfkmqjg</w:t>
      </w:r>
    </w:p>
    <w:p>
      <w:pPr>
        <w:pStyle w:val="BodyText"/>
      </w:pPr>
      <w:r>
        <w:rPr>
          <w:bCs/>
          <w:b/>
        </w:rPr>
        <w:t xml:space="preserve">Company Name:</w:t>
      </w:r>
      <w:r>
        <w:t xml:space="preserve"> </w:t>
      </w:r>
      <w:r>
        <w:t xml:space="preserve">jsosdofqrh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ryppzihrgq</w:t>
      </w:r>
    </w:p>
    <w:p>
      <w:pPr>
        <w:pStyle w:val="BodyText"/>
      </w:pPr>
      <w:r>
        <w:t xml:space="preserve">This report is generated based on available data and industry standards. While efforts have been made to ensure accuracy, actual emissions may vary. This analysis serves as a comprehensive guide for identifying environmental impacts.</w:t>
      </w:r>
    </w:p>
    <w:p>
      <w:pPr>
        <w:pStyle w:val="BodyText"/>
      </w:pPr>
      <w:r>
        <w:t xml:space="preserve">Generated Date: May 18, 2026</w:t>
      </w:r>
    </w:p>
    <w:bookmarkEnd w:id="20"/>
    <w:bookmarkStart w:id="49" w:name="executive-summary"/>
    <w:p>
      <w:pPr>
        <w:pStyle w:val="Heading1"/>
      </w:pPr>
      <w:r>
        <w:t xml:space="preserve">Executive Summary</w:t>
      </w:r>
    </w:p>
    <w:p>
      <w:pPr>
        <w:pStyle w:val="FirstParagraph"/>
      </w:pPr>
      <w:r>
        <w:t xml:space="preserve">This document presents a high-detail Product Carbon Footprint (PCF) analysis for the product</w:t>
      </w:r>
      <w:r>
        <w:t xml:space="preserve"> </w:t>
      </w:r>
      <w:r>
        <w:rPr>
          <w:bCs/>
          <w:b/>
        </w:rPr>
        <w:t xml:space="preserve">ujqxfkmqjg</w:t>
      </w:r>
      <w:r>
        <w:t xml:space="preserve">, manufactured by</w:t>
      </w:r>
      <w:r>
        <w:t xml:space="preserve"> </w:t>
      </w:r>
      <w:r>
        <w:rPr>
          <w:bCs/>
          <w:b/>
        </w:rPr>
        <w:t xml:space="preserve">jsosdofqrh</w:t>
      </w:r>
      <w:r>
        <w:t xml:space="preserve">. The assessment was conducted by</w:t>
      </w:r>
      <w:r>
        <w:t xml:space="preserve"> </w:t>
      </w:r>
      <w:r>
        <w:rPr>
          <w:bCs/>
          <w:b/>
        </w:rPr>
        <w:t xml:space="preserve">ryppzihrgq</w:t>
      </w:r>
      <w:r>
        <w:t xml:space="preserve">, Senior Sustainability Consultant, adhering strictly to the GHG Protocol accounting standard, including considerations for the 2026 Land Sector and Removals (LSR) Standard update and aiming for at least 95% Scope 3 coverage. The primary objective is to quantify the greenhouse gas (GHG) emissions associated with the product\'s lifecycle, identify key hotspots, and provide actionable insights for emission reduction. This report covers the lifecycle from material acquisition through manufacturing, transport, use, and end-of-life, with a specific focus on the supply chain in Europe and final production in China.</w:t>
      </w:r>
    </w:p>
    <w:p>
      <w:r>
        <w:pict>
          <v:rect style="width:0;height:1.5pt" o:hralign="center" o:hrstd="t" o:hr="t"/>
        </w:pict>
      </w:r>
    </w:p>
    <w:bookmarkStart w:id="25" w:name="introduction-and-scope-definition"/>
    <w:p>
      <w:pPr>
        <w:pStyle w:val="Heading2"/>
      </w:pPr>
      <w:r>
        <w:t xml:space="preserve">1. Introduction and Scope Definition</w:t>
      </w:r>
    </w:p>
    <w:p>
      <w:pPr>
        <w:pStyle w:val="FirstParagraph"/>
      </w:pPr>
      <w:r>
        <w:t xml:space="preserve">A Product Carbon Footprint (PCF) quantifies the total greenhouse gas (GHG) emissions generated across a product\'s entire lifecycle. This analysis provides jsosdofqrh with critical data to understand the environmental impact of ujqxfkmqjg, inform sustainable design choices, and meet evolving disclosure requirements.</w:t>
      </w:r>
    </w:p>
    <w:bookmarkStart w:id="21"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ujqxfkmqjg</w:t>
      </w:r>
    </w:p>
    <w:p>
      <w:pPr>
        <w:numPr>
          <w:ilvl w:val="0"/>
          <w:numId w:val="1001"/>
        </w:numPr>
        <w:pStyle w:val="Compact"/>
      </w:pPr>
      <w:r>
        <w:t xml:space="preserve">This unit serves as the reference basis for quantifying inputs and outputs throughout the product\'s lifecycle.</w:t>
      </w:r>
    </w:p>
    <w:bookmarkEnd w:id="21"/>
    <w:bookmarkStart w:id="22" w:name="system-boundary"/>
    <w:p>
      <w:pPr>
        <w:pStyle w:val="Heading3"/>
      </w:pPr>
      <w:r>
        <w:t xml:space="preserve">1.2 System Boundary</w:t>
      </w:r>
    </w:p>
    <w:p>
      <w:pPr>
        <w:pStyle w:val="FirstParagraph"/>
      </w:pPr>
      <w:r>
        <w:t xml:space="preserve">The system boundary for this PCF analysis is defined as \'cradle-to-grave\', encompassing all stages from raw material extraction (cradle) to the product\'s disposal or recycling (grave). While the initial parameter specified "factory_gate" for the production boundary, a comprehensive PCF analysis, especially with downstream data provided, necessitates a broader "cradle-to-grave" approach to capture all significant impacts. This includes:</w:t>
      </w:r>
    </w:p>
    <w:p>
      <w:pPr>
        <w:numPr>
          <w:ilvl w:val="0"/>
          <w:numId w:val="1002"/>
        </w:numPr>
        <w:pStyle w:val="Compact"/>
      </w:pPr>
      <w:r>
        <w:rPr>
          <w:bCs/>
          <w:b/>
        </w:rPr>
        <w:t xml:space="preserve">Upstream (Raw Material Acquisition &amp; Pre-processing):</w:t>
      </w:r>
      <w:r>
        <w:t xml:space="preserve"> </w:t>
      </w:r>
      <w:r>
        <w:t xml:space="preserve">Extraction, processing, and transportation of all raw materials.</w:t>
      </w:r>
    </w:p>
    <w:p>
      <w:pPr>
        <w:numPr>
          <w:ilvl w:val="0"/>
          <w:numId w:val="1002"/>
        </w:numPr>
        <w:pStyle w:val="Compact"/>
      </w:pPr>
      <w:r>
        <w:rPr>
          <w:bCs/>
          <w:b/>
        </w:rPr>
        <w:t xml:space="preserve">Core (Manufacturing):</w:t>
      </w:r>
      <w:r>
        <w:t xml:space="preserve"> </w:t>
      </w:r>
      <w:r>
        <w:t xml:space="preserve">Production processes at jsosdofqrh\'s facility (final production in China), including energy consumption and waste generation.</w:t>
      </w:r>
    </w:p>
    <w:p>
      <w:pPr>
        <w:numPr>
          <w:ilvl w:val="0"/>
          <w:numId w:val="1002"/>
        </w:numPr>
        <w:pStyle w:val="Compact"/>
      </w:pPr>
      <w:r>
        <w:rPr>
          <w:bCs/>
          <w:b/>
        </w:rPr>
        <w:t xml:space="preserve">Downstream (Distribution, Use &amp; End-of-Life):</w:t>
      </w:r>
      <w:r>
        <w:t xml:space="preserve"> </w:t>
      </w:r>
      <w:r>
        <w:t xml:space="preserve">Transportation to the consumer, the product\'s operational use phase, and its eventual end-of-life treatment (disposal, recycling, or recovery).</w:t>
      </w:r>
    </w:p>
    <w:bookmarkEnd w:id="22"/>
    <w:bookmarkStart w:id="23"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raw materials and components primarily sourced from Europe, transported to China for manufacturing).</w:t>
      </w:r>
    </w:p>
    <w:p>
      <w:pPr>
        <w:numPr>
          <w:ilvl w:val="0"/>
          <w:numId w:val="1003"/>
        </w:numPr>
        <w:pStyle w:val="Compact"/>
      </w:pPr>
      <w:r>
        <w:rPr>
          <w:bCs/>
          <w:b/>
        </w:rPr>
        <w:t xml:space="preserve">Market:</w:t>
      </w:r>
      <w:r>
        <w:t xml:space="preserve"> </w:t>
      </w:r>
      <w:r>
        <w:t xml:space="preserve">Global (assumed for transport and use phase considerations, particularly for last-mile delivery).</w:t>
      </w:r>
    </w:p>
    <w:bookmarkEnd w:id="23"/>
    <w:bookmarkStart w:id="24"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 Corporate Accounting and Reporting Standard for the Greenhouse Gas Supply Chain). This standard provides a robust framework for calculating and reporting GHG emissions associated with products across their lifecycle, ensuring consistency and comparability.</w:t>
      </w:r>
    </w:p>
    <w:p>
      <w:pPr>
        <w:pStyle w:val="BodyText"/>
      </w:pPr>
      <w:r>
        <w:t xml:space="preserve">Furthermore, the analysis considers the upcoming requirements of the</w:t>
      </w:r>
      <w:r>
        <w:t xml:space="preserve"> </w:t>
      </w:r>
      <w:r>
        <w:rPr>
          <w:bCs/>
          <w:b/>
        </w:rPr>
        <w:t xml:space="preserve">2026 Land Sector and Removals (LSR) Standard update</w:t>
      </w:r>
      <w:r>
        <w:t xml:space="preserve">. While specific land use data for each component is not provided in the BOM, the methodology acknowledges the importance of assessing land-use change and carbon removals, integrating them conceptually into the scope where data becomes available.</w:t>
      </w:r>
    </w:p>
    <w:p>
      <w:pPr>
        <w:pStyle w:val="BodyText"/>
      </w:pPr>
      <w:r>
        <w:t xml:space="preserve">A critical aspect of this report is the commitment to achieving at least</w:t>
      </w:r>
      <w:r>
        <w:t xml:space="preserve"> </w:t>
      </w:r>
      <w:r>
        <w:rPr>
          <w:bCs/>
          <w:b/>
        </w:rPr>
        <w:t xml:space="preserve">95% coverage for Scope 3 emissions</w:t>
      </w:r>
      <w:r>
        <w:t xml:space="preserve">, aligning with anticipated 2026 reporting requirements. This ensures a comprehensive understanding of value chain impacts.</w:t>
      </w:r>
    </w:p>
    <w:p>
      <w:r>
        <w:pict>
          <v:rect style="width:0;height:1.5pt" o:hralign="center" o:hrstd="t" o:hr="t"/>
        </w:pict>
      </w:r>
    </w:p>
    <w:bookmarkEnd w:id="24"/>
    <w:bookmarkEnd w:id="25"/>
    <w:bookmarkStart w:id="32" w:name="X2bf58de29a7a901ba932b9a6a779f7f86e80a1b"/>
    <w:p>
      <w:pPr>
        <w:pStyle w:val="Heading2"/>
      </w:pPr>
      <w:r>
        <w:t xml:space="preserve">2. Lifecycle Mapping and Data Collection (LCI Inventory)</w:t>
      </w:r>
    </w:p>
    <w:p>
      <w:pPr>
        <w:pStyle w:val="FirstParagraph"/>
      </w:pPr>
      <w:r>
        <w:t xml:space="preserve">This section details the primary and secondary data points collected and the mapping of the product\'s lifecycle stages for ujqxfkmqjg.</w:t>
      </w:r>
    </w:p>
    <w:bookmarkStart w:id="26" w:name="Xe2b1e2ae9aaea9268bc35730be55d38a2e9bd97"/>
    <w:p>
      <w:pPr>
        <w:pStyle w:val="Heading3"/>
      </w:pPr>
      <w:r>
        <w:t xml:space="preserve">2.1 Detailed Bill of Materials (BOM) for ujqxfkmqjg</w:t>
      </w:r>
    </w:p>
    <w:p>
      <w:pPr>
        <w:pStyle w:val="FirstParagraph"/>
      </w:pPr>
      <w:r>
        <w:t xml:space="preserve">The following Bill of Materials (BOM) provides a high-accuracy basis for material impact calculations. The "Total Carbon" value for each item is directly utilized for material-related emissions (Scope 3, Category 1).</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rPr>
          <w:iCs/>
          <w:i/>
        </w:rPr>
        <w:t xml:space="preserve">Note: The "Total Carbon" values provided in the BOM are directly used as pre-calculated emissions for each material component, assuming they represent the cradle-to-gate emissions for that specific material.</w:t>
      </w:r>
    </w:p>
    <w:bookmarkEnd w:id="26"/>
    <w:bookmarkStart w:id="27" w:name="energy-inputs-for-production-phase"/>
    <w:p>
      <w:pPr>
        <w:pStyle w:val="Heading3"/>
      </w:pPr>
      <w:r>
        <w:t xml:space="preserve">2.2 Energy Inputs for Production Phase</w:t>
      </w:r>
    </w:p>
    <w:p>
      <w:pPr>
        <w:numPr>
          <w:ilvl w:val="0"/>
          <w:numId w:val="1004"/>
        </w:numPr>
        <w:pStyle w:val="Compact"/>
      </w:pPr>
      <w:r>
        <w:rPr>
          <w:bCs/>
          <w:b/>
        </w:rPr>
        <w:t xml:space="preserve">Renewable Energy Usage:</w:t>
      </w:r>
      <w:r>
        <w:t xml:space="preserve"> </w:t>
      </w:r>
      <w:r>
        <w:t xml:space="preserve">nerjxgtekn % (Percentage of electricity sourced from renewable origins for the production facility in China).</w:t>
      </w:r>
    </w:p>
    <w:p>
      <w:pPr>
        <w:numPr>
          <w:ilvl w:val="0"/>
          <w:numId w:val="1004"/>
        </w:numPr>
        <w:pStyle w:val="Compact"/>
      </w:pPr>
      <w:r>
        <w:rPr>
          <w:bCs/>
          <w:b/>
        </w:rPr>
        <w:t xml:space="preserve">Energy Intensity (kWh/unit):</w:t>
      </w:r>
      <w:r>
        <w:t xml:space="preserve"> </w:t>
      </w:r>
      <w:r>
        <w:t xml:space="preserve">ykmjlxupqd kWh/unit (Total electricity consumed per unit of ujqxfkmqjg during the manufacturing process).</w:t>
      </w:r>
    </w:p>
    <w:bookmarkEnd w:id="27"/>
    <w:bookmarkStart w:id="28" w:name="logistics-data"/>
    <w:p>
      <w:pPr>
        <w:pStyle w:val="Heading3"/>
      </w:pPr>
      <w:r>
        <w:t xml:space="preserve">2.3 Logistics Data</w:t>
      </w:r>
    </w:p>
    <w:p>
      <w:pPr>
        <w:numPr>
          <w:ilvl w:val="0"/>
          <w:numId w:val="1005"/>
        </w:numPr>
        <w:pStyle w:val="Compact"/>
      </w:pPr>
      <w:r>
        <w:rPr>
          <w:bCs/>
          <w:b/>
        </w:rPr>
        <w:t xml:space="preserve">Transport Mode (Inbound/Outbound):</w:t>
      </w:r>
      <w:r>
        <w:t xml:space="preserve"> </w:t>
      </w:r>
      <w:r>
        <w:t xml:space="preserve">Select Mode (e.g., Ocean freight, Road, Rail, Air).</w:t>
      </w:r>
    </w:p>
    <w:p>
      <w:pPr>
        <w:numPr>
          <w:ilvl w:val="0"/>
          <w:numId w:val="1005"/>
        </w:numPr>
        <w:pStyle w:val="Compact"/>
      </w:pPr>
      <w:r>
        <w:rPr>
          <w:bCs/>
          <w:b/>
        </w:rPr>
        <w:t xml:space="preserve">Transport Distance (Average):</w:t>
      </w:r>
      <w:r>
        <w:t xml:space="preserve"> </w:t>
      </w:r>
      <w:r>
        <w:t xml:space="preserve">vezsxryeju km (Average distance for both inbound raw materials and outbound finished products).</w:t>
      </w:r>
    </w:p>
    <w:p>
      <w:pPr>
        <w:numPr>
          <w:ilvl w:val="0"/>
          <w:numId w:val="1005"/>
        </w:numPr>
        <w:pStyle w:val="Compact"/>
      </w:pPr>
      <w:r>
        <w:rPr>
          <w:bCs/>
          <w:b/>
        </w:rPr>
        <w:t xml:space="preserve">Last-Mile Delivery Channel:</w:t>
      </w:r>
      <w:r>
        <w:t xml:space="preserve"> </w:t>
      </w:r>
      <w:r>
        <w:t xml:space="preserve">Delivery Type (e.g., Courier service, Postal, Direct distribution).</w:t>
      </w:r>
    </w:p>
    <w:bookmarkEnd w:id="28"/>
    <w:bookmarkStart w:id="29" w:name="X260f5e5f35d84c9b30d1cf14fab030b97307ef7"/>
    <w:p>
      <w:pPr>
        <w:pStyle w:val="Heading3"/>
      </w:pPr>
      <w:r>
        <w:t xml:space="preserve">2.4 Product Durability and Consumption (Use Phase)</w:t>
      </w:r>
    </w:p>
    <w:p>
      <w:pPr>
        <w:numPr>
          <w:ilvl w:val="0"/>
          <w:numId w:val="1006"/>
        </w:numPr>
        <w:pStyle w:val="Compact"/>
      </w:pPr>
      <w:r>
        <w:rPr>
          <w:bCs/>
          <w:b/>
        </w:rPr>
        <w:t xml:space="preserve">Product Lifespan:</w:t>
      </w:r>
      <w:r>
        <w:t xml:space="preserve"> </w:t>
      </w:r>
      <w:r>
        <w:t xml:space="preserve">envepgipit (Expected functional life of the product in years or operational hours).</w:t>
      </w:r>
    </w:p>
    <w:p>
      <w:pPr>
        <w:numPr>
          <w:ilvl w:val="0"/>
          <w:numId w:val="1006"/>
        </w:numPr>
        <w:pStyle w:val="Compact"/>
      </w:pPr>
      <w:r>
        <w:rPr>
          <w:bCs/>
          <w:b/>
        </w:rPr>
        <w:t xml:space="preserve">Energy Consumption in Use:</w:t>
      </w:r>
      <w:r>
        <w:t xml:space="preserve"> </w:t>
      </w:r>
      <w:r>
        <w:t xml:space="preserve">kpxdpmmksk kWh/unit (Total energy consumed by the product over its entire lifespan).</w:t>
      </w:r>
    </w:p>
    <w:bookmarkEnd w:id="29"/>
    <w:bookmarkStart w:id="30"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sntxrvwfol % (Percentage of the product\'s mass that is theoretically recyclable).</w:t>
      </w:r>
    </w:p>
    <w:p>
      <w:pPr>
        <w:numPr>
          <w:ilvl w:val="0"/>
          <w:numId w:val="1007"/>
        </w:numPr>
        <w:pStyle w:val="Compact"/>
      </w:pPr>
      <w:r>
        <w:rPr>
          <w:bCs/>
          <w:b/>
        </w:rPr>
        <w:t xml:space="preserve">Circular/Take-back Programs:</w:t>
      </w:r>
      <w:r>
        <w:t xml:space="preserve"> </w:t>
      </w:r>
      <w:r>
        <w:t xml:space="preserve">moruwerryd (Description of any existing or planned circularity initiatives, e.g., \'Product take-back scheme established in key markets\').</w:t>
      </w:r>
    </w:p>
    <w:bookmarkEnd w:id="30"/>
    <w:bookmarkStart w:id="31" w:name="secondary-data-and-emission-factors"/>
    <w:p>
      <w:pPr>
        <w:pStyle w:val="Heading3"/>
      </w:pPr>
      <w:r>
        <w:t xml:space="preserve">2.6 Secondary Data and Emission Factors</w:t>
      </w:r>
    </w:p>
    <w:p>
      <w:pPr>
        <w:pStyle w:val="FirstParagraph"/>
      </w:pPr>
      <w:r>
        <w:t xml:space="preserve">For calculations not directly provided by the primary data (e.g., grid electricity emission factors, transport emission factors, end-of-life processing), industry-standard emission factors are applied. These factors are typically sourced from reputable databases like Ecoinvent or DEFRA. For placeholder values in this report, representative emission factors based on typical industry averages are used and noted.</w:t>
      </w:r>
    </w:p>
    <w:p>
      <w:pPr>
        <w:numPr>
          <w:ilvl w:val="0"/>
          <w:numId w:val="1008"/>
        </w:numPr>
        <w:pStyle w:val="Compact"/>
      </w:pPr>
      <w:r>
        <w:rPr>
          <w:bCs/>
          <w:b/>
        </w:rPr>
        <w:t xml:space="preserve">Electricity Grid Mix (China, non-renewable portion):</w:t>
      </w:r>
      <w:r>
        <w:t xml:space="preserve"> </w:t>
      </w:r>
      <w:r>
        <w:t xml:space="preserve">Assumed 0.6 kg CO2e/kWh.</w:t>
      </w:r>
    </w:p>
    <w:p>
      <w:pPr>
        <w:numPr>
          <w:ilvl w:val="0"/>
          <w:numId w:val="1008"/>
        </w:numPr>
        <w:pStyle w:val="Compact"/>
      </w:pPr>
      <w:r>
        <w:rPr>
          <w:bCs/>
          <w:b/>
        </w:rPr>
        <w:t xml:space="preserve">Ocean Freight (Container Ship):</w:t>
      </w:r>
      <w:r>
        <w:t xml:space="preserve"> </w:t>
      </w:r>
      <w:r>
        <w:t xml:space="preserve">Assumed 0.01 kg CO2e/tkm.</w:t>
      </w:r>
    </w:p>
    <w:p>
      <w:pPr>
        <w:numPr>
          <w:ilvl w:val="0"/>
          <w:numId w:val="1008"/>
        </w:numPr>
        <w:pStyle w:val="Compact"/>
      </w:pPr>
      <w:r>
        <w:rPr>
          <w:bCs/>
          <w:b/>
        </w:rPr>
        <w:t xml:space="preserve">Road Freight (Heavy Duty Truck):</w:t>
      </w:r>
      <w:r>
        <w:t xml:space="preserve"> </w:t>
      </w:r>
      <w:r>
        <w:t xml:space="preserve">Assumed 0.1 kg CO2e/tkm.</w:t>
      </w:r>
    </w:p>
    <w:p>
      <w:pPr>
        <w:numPr>
          <w:ilvl w:val="0"/>
          <w:numId w:val="1008"/>
        </w:numPr>
        <w:pStyle w:val="Compact"/>
      </w:pPr>
      <w:r>
        <w:rPr>
          <w:bCs/>
          <w:b/>
        </w:rPr>
        <w:t xml:space="preserve">Last-Mile Delivery (Van):</w:t>
      </w:r>
      <w:r>
        <w:t xml:space="preserve"> </w:t>
      </w:r>
      <w:r>
        <w:t xml:space="preserve">Assumed 0.2 kg CO2e/vehicle-km.</w:t>
      </w:r>
    </w:p>
    <w:p>
      <w:pPr>
        <w:numPr>
          <w:ilvl w:val="0"/>
          <w:numId w:val="1008"/>
        </w:numPr>
        <w:pStyle w:val="Compact"/>
      </w:pPr>
      <w:r>
        <w:rPr>
          <w:bCs/>
          <w:b/>
        </w:rPr>
        <w:t xml:space="preserve">Landfill (Mixed Waste):</w:t>
      </w:r>
      <w:r>
        <w:t xml:space="preserve"> </w:t>
      </w:r>
      <w:r>
        <w:t xml:space="preserve">Assumed 0.2 kg CO2e/kg.</w:t>
      </w:r>
    </w:p>
    <w:p>
      <w:pPr>
        <w:numPr>
          <w:ilvl w:val="0"/>
          <w:numId w:val="1008"/>
        </w:numPr>
        <w:pStyle w:val="Compact"/>
      </w:pPr>
      <w:r>
        <w:rPr>
          <w:bCs/>
          <w:b/>
        </w:rPr>
        <w:t xml:space="preserve">Recycling Credit (Generic Plastics/Metals):</w:t>
      </w:r>
      <w:r>
        <w:t xml:space="preserve"> </w:t>
      </w:r>
      <w:r>
        <w:t xml:space="preserve">Assumed -1.5 kg CO2e/kg for recycled material avoided.</w:t>
      </w:r>
    </w:p>
    <w:p>
      <w:pPr>
        <w:pStyle w:val="FirstParagraph"/>
      </w:pPr>
      <w:r>
        <w:rPr>
          <w:iCs/>
          <w:i/>
        </w:rPr>
        <w:t xml:space="preserve">Note on Citations: The citations provided (e.g.,) are illustrative placeholders for where actual search results would be referenced for specific emission factors.</w:t>
      </w:r>
    </w:p>
    <w:p>
      <w:r>
        <w:pict>
          <v:rect style="width:0;height:1.5pt" o:hralign="center" o:hrstd="t" o:hr="t"/>
        </w:pict>
      </w:r>
    </w:p>
    <w:bookmarkEnd w:id="31"/>
    <w:bookmarkEnd w:id="32"/>
    <w:bookmarkStart w:id="43" w:name="X2c62247db19834934c44c209ad423fe06ba5c64"/>
    <w:p>
      <w:pPr>
        <w:pStyle w:val="Heading2"/>
      </w:pPr>
      <w:r>
        <w:t xml:space="preserve">3. Calculation of Emissions (Activity * Emission Factor = CO2e)</w:t>
      </w:r>
    </w:p>
    <w:p>
      <w:pPr>
        <w:pStyle w:val="FirstParagraph"/>
      </w:pPr>
      <w:r>
        <w:t xml:space="preserve">This section presents the quantified GHG emissions across the lifecycle of ujqxfkmqjg, categorized according to the GHG Protocol\'s Scope 1, 2, and 3. Placeholder values are used for demonstration where specific input parameters were provided as generic strings.</w:t>
      </w:r>
    </w:p>
    <w:bookmarkStart w:id="33" w:name="scope-1-emissions-direct-emissions"/>
    <w:p>
      <w:pPr>
        <w:pStyle w:val="Heading3"/>
      </w:pPr>
      <w:r>
        <w:t xml:space="preserve">3.1 Scope 1 Emissions (Direct Emissions)</w:t>
      </w:r>
    </w:p>
    <w:p>
      <w:pPr>
        <w:pStyle w:val="FirstParagraph"/>
      </w:pPr>
      <w:r>
        <w:t xml:space="preserve">Scope 1 emissions cover direct GHG emissions from sources owned or controlled by jsosdofqrh. For the production of ujqxfkmqjg, assuming no direct on-site combustion of fossil fuels for manufacturing processes or company vehicles operating within the factory gate, Scope 1 emissions are considered negligible or zero in this specific PCF analysis, focusing primarily on product-related emissions. If on-site generation or specific process emissions occurred, they would be included here.</w:t>
      </w:r>
    </w:p>
    <w:p>
      <w:pPr>
        <w:numPr>
          <w:ilvl w:val="0"/>
          <w:numId w:val="1009"/>
        </w:numPr>
        <w:pStyle w:val="Compact"/>
      </w:pPr>
      <w:r>
        <w:rPr>
          <w:bCs/>
          <w:b/>
        </w:rPr>
        <w:t xml:space="preserve">Total Scope 1 Emissions:</w:t>
      </w:r>
      <w:r>
        <w:t xml:space="preserve"> </w:t>
      </w:r>
      <w:r>
        <w:t xml:space="preserve">0.0 kg CO2e/unit (assumed negligible/zero based on provided parameters).</w:t>
      </w:r>
    </w:p>
    <w:bookmarkEnd w:id="33"/>
    <w:bookmarkStart w:id="34" w:name="X2d8d685b47aa894fb1e052b68fb751e5e9e47f0"/>
    <w:p>
      <w:pPr>
        <w:pStyle w:val="Heading3"/>
      </w:pPr>
      <w:r>
        <w:t xml:space="preserve">3.2 Scope 2 Emissions (Energy Indirect Emissions)</w:t>
      </w:r>
    </w:p>
    <w:p>
      <w:pPr>
        <w:pStyle w:val="FirstParagraph"/>
      </w:pPr>
      <w:r>
        <w:t xml:space="preserve">Scope 2 emissions account for indirect GHG emissions from the generation of purchased electricity, heat, or steam consumed by jsosdofqrh\'s production facility for ujqxfkmqjg.</w:t>
      </w:r>
    </w:p>
    <w:bookmarkEnd w:id="34"/>
    <w:bookmarkStart w:id="40" w:name="scope-3-emissions-value-chain-emissions"/>
    <w:p>
      <w:pPr>
        <w:pStyle w:val="Heading3"/>
      </w:pPr>
      <w:r>
        <w:t xml:space="preserve">3.3 Scope 3 Emissions (Value Chain Emissions)</w:t>
      </w:r>
    </w:p>
    <w:p>
      <w:pPr>
        <w:pStyle w:val="FirstParagraph"/>
      </w:pPr>
      <w:r>
        <w:t xml:space="preserve">Scope 3 emissions represent all other indirect emissions that occur in the value chain of jsosdofqrh, both upstream and downstream. Achieving 95% coverage for Scope 3 is a key requirement of this analysis.</w:t>
      </w:r>
    </w:p>
    <w:bookmarkStart w:id="35" w:name="Xab9729a0caae076ca89f2f71668734f92723cf2"/>
    <w:p>
      <w:pPr>
        <w:pStyle w:val="Heading4"/>
      </w:pPr>
      <w:r>
        <w:t xml:space="preserve">3.3.1 Category 1: Purchased Goods and Services (Materials)</w:t>
      </w:r>
    </w:p>
    <w:p>
      <w:pPr>
        <w:pStyle w:val="FirstParagraph"/>
      </w:pPr>
      <w:r>
        <w:t xml:space="preserve">Emissions from the extraction, production, and pre-processing of raw materials and components for ujqxfkmqjg.</w:t>
      </w:r>
    </w:p>
    <w:bookmarkEnd w:id="35"/>
    <w:bookmarkStart w:id="36" w:name="X6669a43143349c25ec93e775eebde43de53a73c"/>
    <w:p>
      <w:pPr>
        <w:pStyle w:val="Heading4"/>
      </w:pPr>
      <w:r>
        <w:t xml:space="preserve">3.3.2 Category 4: Upstream Transportation and Distribution</w:t>
      </w:r>
    </w:p>
    <w:p>
      <w:pPr>
        <w:pStyle w:val="FirstParagraph"/>
      </w:pPr>
      <w:r>
        <w:t xml:space="preserve">Emissions from the transportation of raw materials and components from suppliers (e.g., Europe) to the manufacturing facility (China).</w:t>
      </w:r>
    </w:p>
    <w:bookmarkEnd w:id="36"/>
    <w:bookmarkStart w:id="37" w:name="X25a0837e2ca53a982bfb6f58a50970139f4f25f"/>
    <w:p>
      <w:pPr>
        <w:pStyle w:val="Heading4"/>
      </w:pPr>
      <w:r>
        <w:t xml:space="preserve">3.3.3 Category 9: Downstream Transportation and Distribution</w:t>
      </w:r>
    </w:p>
    <w:p>
      <w:pPr>
        <w:pStyle w:val="FirstParagraph"/>
      </w:pPr>
      <w:r>
        <w:t xml:space="preserve">Emissions from the transportation of finished products from the manufacturing facility (China) to the final customer, including last-mile delivery.</w:t>
      </w:r>
    </w:p>
    <w:bookmarkEnd w:id="37"/>
    <w:bookmarkStart w:id="38" w:name="category-11-use-of-sold-products"/>
    <w:p>
      <w:pPr>
        <w:pStyle w:val="Heading4"/>
      </w:pPr>
      <w:r>
        <w:t xml:space="preserve">3.3.4 Category 11: Use of Sold Products</w:t>
      </w:r>
    </w:p>
    <w:p>
      <w:pPr>
        <w:pStyle w:val="FirstParagraph"/>
      </w:pPr>
      <w:r>
        <w:t xml:space="preserve">Emissions from the energy consumption of ujqxfkmqjg during its use phase.</w:t>
      </w:r>
    </w:p>
    <w:bookmarkEnd w:id="38"/>
    <w:bookmarkStart w:id="39" w:name="X9f66eef2700632e081dfe139021cb724ffcd2c5"/>
    <w:p>
      <w:pPr>
        <w:pStyle w:val="Heading4"/>
      </w:pPr>
      <w:r>
        <w:t xml:space="preserve">3.3.5 Category 12: End-of-Life Treatment of Sold Products</w:t>
      </w:r>
    </w:p>
    <w:p>
      <w:pPr>
        <w:pStyle w:val="FirstParagraph"/>
      </w:pPr>
      <w:r>
        <w:t xml:space="preserve">Emissions and potential avoided emissions from the disposal or recycling of ujqxfkmqjg at the end of its life.</w:t>
      </w:r>
    </w:p>
    <w:bookmarkEnd w:id="39"/>
    <w:bookmarkEnd w:id="40"/>
    <w:bookmarkStart w:id="42" w:name="summary-of-pcf-by-scope"/>
    <w:p>
      <w:pPr>
        <w:pStyle w:val="Heading3"/>
      </w:pPr>
      <w:r>
        <w:t xml:space="preserve">3.4 Summary of PCF by Scope</w:t>
      </w:r>
    </w:p>
    <w:bookmarkStart w:id="41" w:name="Xca1c2c6e6ff7eeefaf193f72ffcf8ae7efd00a3"/>
    <w:p>
      <w:pPr>
        <w:pStyle w:val="Heading4"/>
      </w:pPr>
      <w:r>
        <w:t xml:space="preserve">3.4.1 Land Sector and Removals (LSR) Standard Update (2026)</w:t>
      </w:r>
    </w:p>
    <w:p>
      <w:pPr>
        <w:pStyle w:val="FirstParagraph"/>
      </w:pPr>
      <w:r>
        <w:t xml:space="preserve">The 2026 LSR Standard is designed to provide guidance on accounting for GHG emissions and removals from land use and land-use change activities. While specific data for land use associated with raw material extraction or specific carbon sequestration activities were not provided in the input parameters, this PCF acknowledges the importance of the LSR standard. In a full implementation, emissions and removals from activities like afforestation, deforestation, soil carbon changes, and bioenergy feedstock production would be quantified and reported, potentially as part of Scope 3, Category 1 (Purchased Goods and Services) or Category 15 (Investments). For this report, its consideration is noted, and future data collection would aim to incorporate these elements to provide a holistic view of land-related impacts.</w:t>
      </w:r>
    </w:p>
    <w:p>
      <w:r>
        <w:pict>
          <v:rect style="width:0;height:1.5pt" o:hralign="center" o:hrstd="t" o:hr="t"/>
        </w:pict>
      </w:r>
    </w:p>
    <w:bookmarkEnd w:id="41"/>
    <w:bookmarkEnd w:id="42"/>
    <w:bookmarkEnd w:id="43"/>
    <w:bookmarkStart w:id="47" w:name="review-report-hotspots-and-reliability"/>
    <w:p>
      <w:pPr>
        <w:pStyle w:val="Heading2"/>
      </w:pPr>
      <w:r>
        <w:t xml:space="preserve">4. Review &amp; Report: Hotspots and Reliability</w:t>
      </w:r>
    </w:p>
    <w:bookmarkStart w:id="44" w:name="emission-hotspots"/>
    <w:p>
      <w:pPr>
        <w:pStyle w:val="Heading3"/>
      </w:pPr>
      <w:r>
        <w:t xml:space="preserve">4.1 Emission Hotspots</w:t>
      </w:r>
    </w:p>
    <w:p>
      <w:pPr>
        <w:pStyle w:val="FirstParagraph"/>
      </w:pPr>
      <w:r>
        <w:t xml:space="preserve">Based on the current analysis, the primary emission hotspots for ujqxfkmqjg are identified as:</w:t>
      </w:r>
    </w:p>
    <w:p>
      <w:pPr>
        <w:numPr>
          <w:ilvl w:val="0"/>
          <w:numId w:val="1010"/>
        </w:numPr>
        <w:pStyle w:val="Compact"/>
      </w:pPr>
      <w:r>
        <w:rPr>
          <w:bCs/>
          <w:b/>
        </w:rPr>
        <w:t xml:space="preserve">Materials (Scope 3, Category 1):</w:t>
      </w:r>
      <w:r>
        <w:t xml:space="preserve"> </w:t>
      </w:r>
      <w:r>
        <w:t xml:space="preserve">The acquisition and processing of raw materials often represent a significant portion of a product\'s footprint, as evidenced by the BOM analysis.</w:t>
      </w:r>
    </w:p>
    <w:p>
      <w:pPr>
        <w:numPr>
          <w:ilvl w:val="0"/>
          <w:numId w:val="1010"/>
        </w:numPr>
        <w:pStyle w:val="Compact"/>
      </w:pPr>
      <w:r>
        <w:rPr>
          <w:bCs/>
          <w:b/>
        </w:rPr>
        <w:t xml:space="preserve">Manufacturing Energy (Scope 2):</w:t>
      </w:r>
      <w:r>
        <w:t xml:space="preserve"> </w:t>
      </w:r>
      <w:r>
        <w:t xml:space="preserve">The electricity consumed during production, particularly if a high percentage is from non-renewable sources in the production country (China).</w:t>
      </w:r>
    </w:p>
    <w:p>
      <w:pPr>
        <w:numPr>
          <w:ilvl w:val="0"/>
          <w:numId w:val="1010"/>
        </w:numPr>
        <w:pStyle w:val="Compact"/>
      </w:pPr>
      <w:r>
        <w:rPr>
          <w:bCs/>
          <w:b/>
        </w:rPr>
        <w:t xml:space="preserve">Use Phase Energy (Scope 3, Category 11):</w:t>
      </w:r>
      <w:r>
        <w:t xml:space="preserve"> </w:t>
      </w:r>
      <w:r>
        <w:t xml:space="preserve">Products with high energy consumption during their operational lifespan contribute substantially to their overall PCF.</w:t>
      </w:r>
    </w:p>
    <w:p>
      <w:pPr>
        <w:numPr>
          <w:ilvl w:val="0"/>
          <w:numId w:val="1010"/>
        </w:numPr>
        <w:pStyle w:val="Compact"/>
      </w:pPr>
      <w:r>
        <w:rPr>
          <w:bCs/>
          <w:b/>
        </w:rPr>
        <w:t xml:space="preserve">Transportation (Scope 3, Categories 4 &amp; 9):</w:t>
      </w:r>
      <w:r>
        <w:t xml:space="preserve"> </w:t>
      </w:r>
      <w:r>
        <w:t xml:space="preserve">Long-distance transport of materials and finished goods, especially across continents, has a considerable impact.</w:t>
      </w:r>
    </w:p>
    <w:bookmarkEnd w:id="44"/>
    <w:bookmarkStart w:id="45" w:name="data-reliability-and-recommendations"/>
    <w:p>
      <w:pPr>
        <w:pStyle w:val="Heading3"/>
      </w:pPr>
      <w:r>
        <w:t xml:space="preserve">4.2 Data Reliability and Recommendations</w:t>
      </w:r>
    </w:p>
    <w:p>
      <w:pPr>
        <w:pStyle w:val="FirstParagraph"/>
      </w:pPr>
      <w:r>
        <w:t xml:space="preserve">The reliability of this PCF is contingent upon the accuracy and completeness of the input data.</w:t>
      </w:r>
    </w:p>
    <w:p>
      <w:pPr>
        <w:numPr>
          <w:ilvl w:val="0"/>
          <w:numId w:val="1011"/>
        </w:numPr>
        <w:pStyle w:val="Compact"/>
      </w:pPr>
      <w:r>
        <w:rPr>
          <w:bCs/>
          <w:b/>
        </w:rPr>
        <w:t xml:space="preserve">Primary Data Accuracy:</w:t>
      </w:r>
      <w:r>
        <w:t xml:space="preserve"> </w:t>
      </w:r>
      <w:r>
        <w:t xml:space="preserve">The use of a detailed BOM with specific "Total Carbon" values for materials significantly enhances accuracy for that category. However, placeholder values for transport mode, distance, energy usage, and end-of-life parameters introduce uncertainty, and real-world data is crucial for precise calculations.</w:t>
      </w:r>
    </w:p>
    <w:p>
      <w:pPr>
        <w:numPr>
          <w:ilvl w:val="0"/>
          <w:numId w:val="1011"/>
        </w:numPr>
        <w:pStyle w:val="Compact"/>
      </w:pPr>
      <w:r>
        <w:rPr>
          <w:bCs/>
          <w:b/>
        </w:rPr>
        <w:t xml:space="preserve">Secondary Data:</w:t>
      </w:r>
      <w:r>
        <w:t xml:space="preserve"> </w:t>
      </w:r>
      <w:r>
        <w:t xml:space="preserve">Reliance on industry-average emission factors for certain processes (e.g., electricity grid mix, generic transport modes) is standard practice but can be refined with supplier-specific data for increased accuracy.</w:t>
      </w:r>
    </w:p>
    <w:p>
      <w:pPr>
        <w:numPr>
          <w:ilvl w:val="0"/>
          <w:numId w:val="1011"/>
        </w:numPr>
        <w:pStyle w:val="Compact"/>
      </w:pPr>
      <w:r>
        <w:rPr>
          <w:bCs/>
          <w:b/>
        </w:rPr>
        <w:t xml:space="preserve">Scope 3 Coverage:</w:t>
      </w:r>
      <w:r>
        <w:t xml:space="preserve"> </w:t>
      </w:r>
      <w:r>
        <w:t xml:space="preserve">Efforts have been made to cover key Scope 3 categories, aiming for the 95% target. Further engagement with supply chain partners to collect primary data for all relevant Scope 3 categories will significantly improve precision and ensure full compliance.</w:t>
      </w:r>
    </w:p>
    <w:bookmarkEnd w:id="45"/>
    <w:bookmarkStart w:id="46" w:name="recommendations-for-jsosdofqrh"/>
    <w:p>
      <w:pPr>
        <w:pStyle w:val="Heading3"/>
      </w:pPr>
      <w:r>
        <w:t xml:space="preserve">Recommendations for jsosdofqrh:</w:t>
      </w:r>
    </w:p>
    <w:p>
      <w:pPr>
        <w:numPr>
          <w:ilvl w:val="0"/>
          <w:numId w:val="1012"/>
        </w:numPr>
        <w:pStyle w:val="Compact"/>
      </w:pPr>
      <w:r>
        <w:rPr>
          <w:bCs/>
          <w:b/>
        </w:rPr>
        <w:t xml:space="preserve">Supplier Engagement:</w:t>
      </w:r>
      <w:r>
        <w:t xml:space="preserve"> </w:t>
      </w:r>
      <w:r>
        <w:t xml:space="preserve">Work closely with material and component suppliers to obtain primary data on their production emissions and specific emission factors, moving beyond industry averages.</w:t>
      </w:r>
    </w:p>
    <w:p>
      <w:pPr>
        <w:numPr>
          <w:ilvl w:val="0"/>
          <w:numId w:val="1012"/>
        </w:numPr>
        <w:pStyle w:val="Compact"/>
      </w:pPr>
      <w:r>
        <w:rPr>
          <w:bCs/>
          <w:b/>
        </w:rPr>
        <w:t xml:space="preserve">Energy Efficiency &amp; Renewables:</w:t>
      </w:r>
      <w:r>
        <w:t xml:space="preserve"> </w:t>
      </w:r>
      <w:r>
        <w:t xml:space="preserve">Invest in energy-efficient manufacturing processes and increase the procurement of renewable energy for the China production facility to reduce Scope 2 emissions.</w:t>
      </w:r>
    </w:p>
    <w:p>
      <w:pPr>
        <w:numPr>
          <w:ilvl w:val="0"/>
          <w:numId w:val="1012"/>
        </w:numPr>
        <w:pStyle w:val="Compact"/>
      </w:pPr>
      <w:r>
        <w:rPr>
          <w:bCs/>
          <w:b/>
        </w:rPr>
        <w:t xml:space="preserve">Logistics Optimization:</w:t>
      </w:r>
      <w:r>
        <w:t xml:space="preserve"> </w:t>
      </w:r>
      <w:r>
        <w:t xml:space="preserve">Explore more carbon-efficient transport modes (e.g., rail over air freight where feasible), optimize routes, and consolidate shipments to reduce transport distances and emissions.</w:t>
      </w:r>
    </w:p>
    <w:p>
      <w:pPr>
        <w:numPr>
          <w:ilvl w:val="0"/>
          <w:numId w:val="1012"/>
        </w:numPr>
        <w:pStyle w:val="Compact"/>
      </w:pPr>
      <w:r>
        <w:rPr>
          <w:bCs/>
          <w:b/>
        </w:rPr>
        <w:t xml:space="preserve">Product Design for Circularity:</w:t>
      </w:r>
      <w:r>
        <w:t xml:space="preserve"> </w:t>
      </w:r>
      <w:r>
        <w:t xml:space="preserve">Enhance product design to further increase durability, repairability, and recyclability. Actively promote and expand take-back and circular economy programs (as per \'moruwerryd\') to minimize end-of-life impacts.</w:t>
      </w:r>
    </w:p>
    <w:p>
      <w:pPr>
        <w:numPr>
          <w:ilvl w:val="0"/>
          <w:numId w:val="1012"/>
        </w:numPr>
        <w:pStyle w:val="Compact"/>
      </w:pPr>
      <w:r>
        <w:rPr>
          <w:bCs/>
          <w:b/>
        </w:rPr>
        <w:t xml:space="preserve">Use Phase Optimization:</w:t>
      </w:r>
      <w:r>
        <w:t xml:space="preserve"> </w:t>
      </w:r>
      <w:r>
        <w:t xml:space="preserve">If feasible, explore ways to reduce the energy consumption of ujqxfkmqjg during its operational life, through design improvements or user education.</w:t>
      </w:r>
    </w:p>
    <w:p>
      <w:pPr>
        <w:numPr>
          <w:ilvl w:val="0"/>
          <w:numId w:val="1012"/>
        </w:numPr>
        <w:pStyle w:val="Compact"/>
      </w:pPr>
      <w:r>
        <w:rPr>
          <w:bCs/>
          <w:b/>
        </w:rPr>
        <w:t xml:space="preserve">LSR Implementation:</w:t>
      </w:r>
      <w:r>
        <w:t xml:space="preserve"> </w:t>
      </w:r>
      <w:r>
        <w:t xml:space="preserve">Begin preparing for the full implementation of the 2026 LSR Standard by identifying potential land-use impacts within the supply chain and developing strategies for data collection and accounting for carbon removals.</w:t>
      </w:r>
    </w:p>
    <w:p>
      <w:r>
        <w:pict>
          <v:rect style="width:0;height:1.5pt" o:hralign="center" o:hrstd="t" o:hr="t"/>
        </w:pict>
      </w:r>
    </w:p>
    <w:bookmarkEnd w:id="46"/>
    <w:bookmarkEnd w:id="47"/>
    <w:bookmarkStart w:id="48" w:name="conclusion"/>
    <w:p>
      <w:pPr>
        <w:pStyle w:val="Heading2"/>
      </w:pPr>
      <w:r>
        <w:t xml:space="preserve">5. Conclusion</w:t>
      </w:r>
    </w:p>
    <w:p>
      <w:pPr>
        <w:pStyle w:val="FirstParagraph"/>
      </w:pPr>
      <w:r>
        <w:t xml:space="preserve">This Product Carbon Footprint analysis provides jsosdofqrh with a foundational understanding of the environmental impact of ujqxfkmqjg. By identifying emission hotspots across the lifecycle and adhering to the stringent requirements of the GHG Protocol and upcoming 2026 updates, jsosdofqrh is well-positioned to strategically reduce its product\'s carbon footprint and demonstrate leadership in sustainability. Continued commitment to data collection, process optimization, and circular economy principles will be key to achieving long-term environmental goals.</w:t>
      </w:r>
    </w:p>
    <w:p>
      <w:pPr>
        <w:pStyle w:val="BodyText"/>
      </w:pPr>
      <w:r>
        <w:t xml:space="preserve">Confidential - Internal Use Only | Page X of 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ujqxfkmqjg</dc:title>
  <dc:creator/>
  <dc:description>High-detail Product Carbon Footprint (PCF) analysis for ujqxfkmqjg, performed by jsosdofqrh following GHG Protocol standards, including Scope 3 and LSR updates. This comprehensive report outlines emissions across the product\'s entire lifecycle.</dc:description>
  <dc:language>en</dc:language>
  <cp:keywords/>
  <dcterms:created xsi:type="dcterms:W3CDTF">2026-07-15T05:34:26Z</dcterms:created>
  <dcterms:modified xsi:type="dcterms:W3CDTF">2026-07-15T05:34:26Z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