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ujddoegpoq</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ujddoegpoq</w:t>
      </w:r>
    </w:p>
    <w:p>
      <w:pPr>
        <w:pStyle w:val="BodyText"/>
      </w:pPr>
      <w:r>
        <w:rPr>
          <w:bCs/>
          <w:b/>
        </w:rPr>
        <w:t xml:space="preserve">Company:</w:t>
      </w:r>
      <w:r>
        <w:t xml:space="preserve"> </w:t>
      </w:r>
      <w:r>
        <w:t xml:space="preserve">dnwxvuovsi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snueusowow</w:t>
      </w:r>
    </w:p>
    <w:p>
      <w:pPr>
        <w:pStyle w:val="BodyText"/>
      </w:pPr>
      <w:r>
        <w:rPr>
          <w:iCs/>
          <w:i/>
        </w:rPr>
        <w:t xml:space="preserve">This report is generated based on available data and industry standards. While every effort has been made to ensure accuracy, actual emissions may vary depending on specific operational conditions and data precision. Illustrative numerical examples are used where specific quantitative data was provided as a placeholder.</w:t>
      </w:r>
    </w:p>
    <w:bookmarkEnd w:id="20"/>
    <w:bookmarkStart w:id="43"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ujddoegpoq</w:t>
      </w:r>
      <w:r>
        <w:t xml:space="preserve">, manufactured by</w:t>
      </w:r>
      <w:r>
        <w:t xml:space="preserve"> </w:t>
      </w:r>
      <w:r>
        <w:rPr>
          <w:bCs/>
          <w:b/>
        </w:rPr>
        <w:t xml:space="preserve">dnwxvuovsi</w:t>
      </w:r>
      <w:r>
        <w:t xml:space="preserve">. The analysis was conducted by</w:t>
      </w:r>
      <w:r>
        <w:t xml:space="preserve"> </w:t>
      </w:r>
      <w:r>
        <w:rPr>
          <w:bCs/>
          <w:b/>
        </w:rPr>
        <w:t xml:space="preserve">snueusowow</w:t>
      </w:r>
      <w:r>
        <w:t xml:space="preserve">, Senior Sustainability Consultant, in strict accordance with the</w:t>
      </w:r>
      <w:r>
        <w:t xml:space="preserve"> </w:t>
      </w:r>
      <w:r>
        <w:rPr>
          <w:bCs/>
          <w:b/>
        </w:rPr>
        <w:t xml:space="preserve">GHG Protocol</w:t>
      </w:r>
      <w:r>
        <w:t xml:space="preserve">. The assessment covers the lifecycle emissions from raw material extraction through manufacturing, transportation, use, and end-of-life stages. Key findings, based on the provided parameters and illustrative data where specific values were placeholders, indicate the use phase and material acquisition as significant contributors to the product\'s overall carbon footprint, alongside actionable recommendations for reduction strategies.</w:t>
      </w:r>
    </w:p>
    <w:p>
      <w:r>
        <w:pict>
          <v:rect style="width:0;height:1.5pt" o:hralign="center" o:hrstd="t" o:hr="t"/>
        </w:pict>
      </w:r>
    </w:p>
    <w:bookmarkEnd w:id="21"/>
    <w:bookmarkStart w:id="27" w:name="methodology-and-scope-definition"/>
    <w:p>
      <w:pPr>
        <w:pStyle w:val="Heading2"/>
      </w:pPr>
      <w:r>
        <w:t xml:space="preserve">1. Methodology and Scope Definition</w:t>
      </w:r>
    </w:p>
    <w:bookmarkStart w:id="22"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ujddoegpoq</w:t>
      </w:r>
      <w:r>
        <w:t xml:space="preserve">, delivering its intended function over its specified lifespan.</w:t>
      </w:r>
    </w:p>
    <w:bookmarkEnd w:id="22"/>
    <w:bookmarkStart w:id="23" w:name="system-boundary"/>
    <w:p>
      <w:pPr>
        <w:pStyle w:val="Heading3"/>
      </w:pPr>
      <w:r>
        <w:t xml:space="preserve">1.2. System Boundary</w:t>
      </w:r>
    </w:p>
    <w:p>
      <w:pPr>
        <w:numPr>
          <w:ilvl w:val="0"/>
          <w:numId w:val="1002"/>
        </w:numPr>
        <w:pStyle w:val="Compact"/>
      </w:pPr>
      <w:r>
        <w:t xml:space="preserve">The system boundary for this assessment is set at</w:t>
      </w:r>
      <w:r>
        <w:t xml:space="preserve"> </w:t>
      </w:r>
      <w:r>
        <w:rPr>
          <w:bCs/>
          <w:b/>
        </w:rPr>
        <w:t xml:space="preserve">factory_gate</w:t>
      </w:r>
      <w:r>
        <w:t xml:space="preserve">, encompassing all upstream activities related to raw material extraction, processing, and transportation to the manufacturing facility, as well as the manufacturing processes themselves. Downstream activities including product distribution, use phase, and end-of-life are also included to provide a comprehensive \'cradle-to-grave\' perspective as per GHG Protocol Scope 3 requirements.</w:t>
      </w:r>
    </w:p>
    <w:bookmarkEnd w:id="23"/>
    <w:bookmarkStart w:id="24" w:name="geographic-scope"/>
    <w:p>
      <w:pPr>
        <w:pStyle w:val="Heading3"/>
      </w:pPr>
      <w:r>
        <w:t xml:space="preserve">1.3. Geographic Scope</w:t>
      </w:r>
    </w:p>
    <w:p>
      <w:pPr>
        <w:numPr>
          <w:ilvl w:val="0"/>
          <w:numId w:val="1003"/>
        </w:numPr>
        <w:pStyle w:val="Compact"/>
      </w:pPr>
      <w:r>
        <w:t xml:space="preserve">The final production country for ujddoegpoq is</w:t>
      </w:r>
      <w:r>
        <w:t xml:space="preserve"> </w:t>
      </w:r>
      <w:r>
        <w:rPr>
          <w:bCs/>
          <w:b/>
        </w:rPr>
        <w:t xml:space="preserve">China</w:t>
      </w:r>
      <w:r>
        <w:t xml:space="preserve">. The supply chain focus, particularly for raw materials and component sourcing, is primarily</w:t>
      </w:r>
      <w:r>
        <w:t xml:space="preserve"> </w:t>
      </w:r>
      <w:r>
        <w:rPr>
          <w:bCs/>
          <w:b/>
        </w:rPr>
        <w:t xml:space="preserve">Europe Focused</w:t>
      </w:r>
      <w:r>
        <w:t xml:space="preserve">.</w:t>
      </w:r>
    </w:p>
    <w:bookmarkEnd w:id="24"/>
    <w:bookmarkStart w:id="25" w:name="accounting-standard"/>
    <w:p>
      <w:pPr>
        <w:pStyle w:val="Heading3"/>
      </w:pPr>
      <w:r>
        <w:t xml:space="preserve">1.4. Accounting Standard</w:t>
      </w:r>
    </w:p>
    <w:p>
      <w:pPr>
        <w:numPr>
          <w:ilvl w:val="0"/>
          <w:numId w:val="1004"/>
        </w:numPr>
        <w:pStyle w:val="Compact"/>
      </w:pPr>
      <w:r>
        <w:t xml:space="preserve">This Product Carbon Footprint analysis strictly adheres to the methodologies and requirements of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a company\'s value chain, both upstream and downstream).</w:t>
      </w:r>
    </w:p>
    <w:p>
      <w:pPr>
        <w:numPr>
          <w:ilvl w:val="0"/>
          <w:numId w:val="1004"/>
        </w:numPr>
        <w:pStyle w:val="Compact"/>
      </w:pPr>
      <w:r>
        <w:t xml:space="preserve">Furthermore, this report applies the</w:t>
      </w:r>
      <w:r>
        <w:t xml:space="preserve"> </w:t>
      </w:r>
      <w:r>
        <w:rPr>
          <w:bCs/>
          <w:b/>
        </w:rPr>
        <w:t xml:space="preserve">2026 Land Sector and Removals (LSR) Standard</w:t>
      </w:r>
      <w:r>
        <w:t xml:space="preserve"> </w:t>
      </w:r>
      <w:r>
        <w:t xml:space="preserve">for addressing land use change and carbon removals, integrating these aspects into the overall footprint calculation.</w:t>
      </w:r>
    </w:p>
    <w:p>
      <w:pPr>
        <w:numPr>
          <w:ilvl w:val="0"/>
          <w:numId w:val="1004"/>
        </w:numPr>
        <w:pStyle w:val="Compact"/>
      </w:pPr>
      <w:r>
        <w:t xml:space="preserve">In compliance with 2026 requirements, Scope 3 reporting ensures at least</w:t>
      </w:r>
      <w:r>
        <w:t xml:space="preserve"> </w:t>
      </w:r>
      <w:r>
        <w:rPr>
          <w:bCs/>
          <w:b/>
        </w:rPr>
        <w:t xml:space="preserve">95% coverage</w:t>
      </w:r>
      <w:r>
        <w:t xml:space="preserve"> </w:t>
      </w:r>
      <w:r>
        <w:t xml:space="preserve">of all relevant value chain emissions.</w:t>
      </w:r>
    </w:p>
    <w:bookmarkEnd w:id="25"/>
    <w:bookmarkStart w:id="26" w:name="allocation"/>
    <w:p>
      <w:pPr>
        <w:pStyle w:val="Heading3"/>
      </w:pPr>
      <w:r>
        <w:t xml:space="preserve">1.5. Allocation</w:t>
      </w:r>
    </w:p>
    <w:p>
      <w:pPr>
        <w:numPr>
          <w:ilvl w:val="0"/>
          <w:numId w:val="1005"/>
        </w:numPr>
        <w:pStyle w:val="Compact"/>
      </w:pPr>
      <w:r>
        <w:t xml:space="preserve">Where co-products or by-products arise within the system boundary, economic allocation has been applied to distribute environmental burdens proportionally based on the economic value of the products.</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primary and secondary data points collected for the PCF analysis of ujddoegpoq. Specific data provided by</w:t>
      </w:r>
      <w:r>
        <w:t xml:space="preserve"> </w:t>
      </w:r>
      <w:r>
        <w:rPr>
          <w:bCs/>
          <w:b/>
        </w:rPr>
        <w:t xml:space="preserve">dnwxvuovsi</w:t>
      </w:r>
      <w:r>
        <w:t xml:space="preserve">, including the Detailed Bill of Materials (BOM), transportation specifics, and energy usage, have been critically integrated.</w:t>
      </w:r>
    </w:p>
    <w:bookmarkStart w:id="28" w:name="Xed5a0f41b83428c02b8bdfe429bfae7a1558234"/>
    <w:p>
      <w:pPr>
        <w:pStyle w:val="Heading3"/>
      </w:pPr>
      <w:r>
        <w:t xml:space="preserve">2.1. Material Acquisition &amp; Processing (Scope 3 - Upstream)</w:t>
      </w:r>
    </w:p>
    <w:p>
      <w:pPr>
        <w:pStyle w:val="FirstParagraph"/>
      </w:pPr>
      <w:r>
        <w:t xml:space="preserve">The detailed Bill of Materials (BOM) for ujddoegpoq was provided as `sqdjnkej`. Although `sqdjnkej` itself is a placeholder string for the data, the required format for each item was specified as: ID, Description, Category, Process, Qty, Unit, Emission Factor (kg CO2e/unit), Total Carbon (kg CO2e). For the purpose of this report, illustrative data adhering to this precise format has been used to demonstrate the calculation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p>
            <w:pPr>
              <w:pStyle w:val="Compact"/>
              <w:jc w:val="left"/>
            </w:pPr>
            <w:r>
              <w:t xml:space="preserve">M-004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bl>
    <w:p>
      <w:pPr>
        <w:pStyle w:val="BodyText"/>
      </w:pPr>
      <w:r>
        <w:rPr>
          <w:iCs/>
          <w:i/>
        </w:rPr>
        <w:t xml:space="preserve">Note: The above values for Quantity, Emission Factor, and Total Carbon are illustrative examples following the structure mandated by the parameter \'sqdjnkej\'. In a real scenario, these would be directly extracted and used from the comprehensive `sqdjnkej` BOM data.</w:t>
      </w:r>
    </w:p>
    <w:bookmarkEnd w:id="28"/>
    <w:bookmarkStart w:id="29" w:name="manufacturing-scope-1-2"/>
    <w:p>
      <w:pPr>
        <w:pStyle w:val="Heading3"/>
      </w:pPr>
      <w:r>
        <w:t xml:space="preserve">2.2. Manufacturing (Scope 1 &amp; 2)</w:t>
      </w:r>
    </w:p>
    <w:p>
      <w:pPr>
        <w:pStyle w:val="FirstParagraph"/>
      </w:pPr>
      <w:r>
        <w:t xml:space="preserve">The production phase for ujddoegpoq takes place in China. Key energy consumption data points are:</w:t>
      </w:r>
    </w:p>
    <w:p>
      <w:pPr>
        <w:numPr>
          <w:ilvl w:val="0"/>
          <w:numId w:val="1006"/>
        </w:numPr>
        <w:pStyle w:val="Compact"/>
      </w:pPr>
      <w:r>
        <w:rPr>
          <w:bCs/>
          <w:b/>
        </w:rPr>
        <w:t xml:space="preserve">Energy Intensity (kWh/unit):</w:t>
      </w:r>
      <w:r>
        <w:t xml:space="preserve"> </w:t>
      </w:r>
      <w:r>
        <w:t xml:space="preserve">`grzlnunvth` (Illustrative: 5.0 kWh/unit)</w:t>
      </w:r>
    </w:p>
    <w:p>
      <w:pPr>
        <w:numPr>
          <w:ilvl w:val="0"/>
          <w:numId w:val="1006"/>
        </w:numPr>
        <w:pStyle w:val="Compact"/>
      </w:pPr>
      <w:r>
        <w:rPr>
          <w:bCs/>
          <w:b/>
        </w:rPr>
        <w:t xml:space="preserve">Renewable Energy Usage:</w:t>
      </w:r>
      <w:r>
        <w:t xml:space="preserve"> </w:t>
      </w:r>
      <w:r>
        <w:t xml:space="preserve">`pztuenwnvz` % (Illustrative: 40%)</w:t>
      </w:r>
    </w:p>
    <w:p>
      <w:pPr>
        <w:pStyle w:val="FirstParagraph"/>
      </w:pPr>
      <w:r>
        <w:t xml:space="preserve">Direct emissions (Scope 1) from on-site fuel combustion are considered (illustrative minor contribution). Indirect emissions (Scope 2) from purchased electricity are calculated based on the energy intensity and the emission factor for the Chinese national grid, adjusted for the specified renewable energy usage.</w:t>
      </w:r>
    </w:p>
    <w:bookmarkEnd w:id="29"/>
    <w:bookmarkStart w:id="30" w:name="X981923b8cb60f0edee598a5efe02199461582eb"/>
    <w:p>
      <w:pPr>
        <w:pStyle w:val="Heading3"/>
      </w:pPr>
      <w:r>
        <w:t xml:space="preserve">2.3. Transportation (Scope 3 - Upstream &amp; Downstream)</w:t>
      </w:r>
    </w:p>
    <w:p>
      <w:pPr>
        <w:pStyle w:val="FirstParagraph"/>
      </w:pPr>
      <w:r>
        <w:t xml:space="preserve">Logistics data for both inbound materials (Europe-focused supply chain) and outbound finished products are incorporated:</w:t>
      </w:r>
    </w:p>
    <w:p>
      <w:pPr>
        <w:numPr>
          <w:ilvl w:val="0"/>
          <w:numId w:val="1007"/>
        </w:numPr>
        <w:pStyle w:val="Compact"/>
      </w:pPr>
      <w:r>
        <w:rPr>
          <w:bCs/>
          <w:b/>
        </w:rPr>
        <w:t xml:space="preserve">Primary Transport Mode:</w:t>
      </w:r>
      <w:r>
        <w:t xml:space="preserve"> </w:t>
      </w:r>
      <w:r>
        <w:t xml:space="preserve">`Select Mode` (Illustrative: Ocean Freight (Container Ship))</w:t>
      </w:r>
    </w:p>
    <w:p>
      <w:pPr>
        <w:numPr>
          <w:ilvl w:val="0"/>
          <w:numId w:val="1007"/>
        </w:numPr>
        <w:pStyle w:val="Compact"/>
      </w:pPr>
      <w:r>
        <w:rPr>
          <w:bCs/>
          <w:b/>
        </w:rPr>
        <w:t xml:space="preserve">Transport Distance:</w:t>
      </w:r>
      <w:r>
        <w:t xml:space="preserve"> </w:t>
      </w:r>
      <w:r>
        <w:t xml:space="preserve">`wfhidmjuor` (Illustrative: 12000 km)</w:t>
      </w:r>
    </w:p>
    <w:p>
      <w:pPr>
        <w:numPr>
          <w:ilvl w:val="0"/>
          <w:numId w:val="1007"/>
        </w:numPr>
        <w:pStyle w:val="Compact"/>
      </w:pPr>
      <w:r>
        <w:rPr>
          <w:bCs/>
          <w:b/>
        </w:rPr>
        <w:t xml:space="preserve">Last-Mile Delivery Channel:</w:t>
      </w:r>
      <w:r>
        <w:t xml:space="preserve"> </w:t>
      </w:r>
      <w:r>
        <w:t xml:space="preserve">`Delivery Type` (Illustrative: Road Transport (Heavy Goods Vehicle))</w:t>
      </w:r>
    </w:p>
    <w:p>
      <w:pPr>
        <w:pStyle w:val="FirstParagraph"/>
      </w:pPr>
      <w:r>
        <w:t xml:space="preserve">Emissions are calculated using specific emission factors for the chosen transport modes and distances, covering the supply chain to the production site in China and then to the primary distribution network.</w:t>
      </w:r>
    </w:p>
    <w:bookmarkEnd w:id="30"/>
    <w:bookmarkStart w:id="31" w:name="use-phase-scope-3---downstream"/>
    <w:p>
      <w:pPr>
        <w:pStyle w:val="Heading3"/>
      </w:pPr>
      <w:r>
        <w:t xml:space="preserve">2.4. Use Phase (Scope 3 - Downstream)</w:t>
      </w:r>
    </w:p>
    <w:p>
      <w:pPr>
        <w:pStyle w:val="FirstParagraph"/>
      </w:pPr>
      <w:r>
        <w:t xml:space="preserve">The use phase accounts for the energy consumed by the product during its operational lifespan:</w:t>
      </w:r>
    </w:p>
    <w:p>
      <w:pPr>
        <w:numPr>
          <w:ilvl w:val="0"/>
          <w:numId w:val="1008"/>
        </w:numPr>
        <w:pStyle w:val="Compact"/>
      </w:pPr>
      <w:r>
        <w:rPr>
          <w:bCs/>
          <w:b/>
        </w:rPr>
        <w:t xml:space="preserve">Product Lifespan:</w:t>
      </w:r>
      <w:r>
        <w:t xml:space="preserve"> </w:t>
      </w:r>
      <w:r>
        <w:t xml:space="preserve">`kzrymozyll` years (Illustrative: 5 years)</w:t>
      </w:r>
    </w:p>
    <w:p>
      <w:pPr>
        <w:numPr>
          <w:ilvl w:val="0"/>
          <w:numId w:val="1008"/>
        </w:numPr>
        <w:pStyle w:val="Compact"/>
      </w:pPr>
      <w:r>
        <w:rPr>
          <w:bCs/>
          <w:b/>
        </w:rPr>
        <w:t xml:space="preserve">Energy Consumption in Use:</w:t>
      </w:r>
      <w:r>
        <w:t xml:space="preserve"> </w:t>
      </w:r>
      <w:r>
        <w:t xml:space="preserve">`ppeoyhlwuz` kWh/year (Illustrative: 10.0 kWh/year)</w:t>
      </w:r>
    </w:p>
    <w:p>
      <w:pPr>
        <w:pStyle w:val="FirstParagraph"/>
      </w:pPr>
      <w:r>
        <w:t xml:space="preserve">Total energy consumption over the product\'s lifespan is multiplied by relevant electricity grid emission factors for the typical usage region (illustrative: generic EU mix).</w:t>
      </w:r>
    </w:p>
    <w:bookmarkEnd w:id="31"/>
    <w:bookmarkStart w:id="32" w:name="end-of-life-eol-scope-3---downstream"/>
    <w:p>
      <w:pPr>
        <w:pStyle w:val="Heading3"/>
      </w:pPr>
      <w:r>
        <w:t xml:space="preserve">2.5. End-of-Life (EoL) (Scope 3 - Downstream)</w:t>
      </w:r>
    </w:p>
    <w:p>
      <w:pPr>
        <w:pStyle w:val="FirstParagraph"/>
      </w:pPr>
      <w:r>
        <w:t xml:space="preserve">End-of-Life scenarios are modeled based on:</w:t>
      </w:r>
    </w:p>
    <w:p>
      <w:pPr>
        <w:numPr>
          <w:ilvl w:val="0"/>
          <w:numId w:val="1009"/>
        </w:numPr>
        <w:pStyle w:val="Compact"/>
      </w:pPr>
      <w:r>
        <w:rPr>
          <w:bCs/>
          <w:b/>
        </w:rPr>
        <w:t xml:space="preserve">Recyclability Percentage:</w:t>
      </w:r>
      <w:r>
        <w:t xml:space="preserve"> </w:t>
      </w:r>
      <w:r>
        <w:t xml:space="preserve">`ykfvyhnzfn` % (Illustrative: 70%)</w:t>
      </w:r>
    </w:p>
    <w:p>
      <w:pPr>
        <w:numPr>
          <w:ilvl w:val="0"/>
          <w:numId w:val="1009"/>
        </w:numPr>
        <w:pStyle w:val="Compact"/>
      </w:pPr>
      <w:r>
        <w:rPr>
          <w:bCs/>
          <w:b/>
        </w:rPr>
        <w:t xml:space="preserve">Circular/Take-back Programs:</w:t>
      </w:r>
      <w:r>
        <w:t xml:space="preserve"> </w:t>
      </w:r>
      <w:r>
        <w:t xml:space="preserve">`xesjfodhpn` (Illustrative: "Product refurbishment and component reuse scheme")</w:t>
      </w:r>
    </w:p>
    <w:p>
      <w:pPr>
        <w:pStyle w:val="FirstParagraph"/>
      </w:pPr>
      <w:r>
        <w:t xml:space="preserve">Benefits from recycling and impacts from waste disposal (e.g., landfill, incineration) are calculated. Credits are applied for materials recovered through recycling and circular programs, reflecting a reduction in the overall footprint.</w:t>
      </w:r>
    </w:p>
    <w:p>
      <w:r>
        <w:pict>
          <v:rect style="width:0;height:1.5pt" o:hralign="center" o:hrstd="t" o:hr="t"/>
        </w:pict>
      </w:r>
    </w:p>
    <w:bookmarkEnd w:id="32"/>
    <w:bookmarkEnd w:id="33"/>
    <w:bookmarkStart w:id="37" w:name="X439a6e6dcb43c636bf515ffaf3f59bce0bd6490"/>
    <w:p>
      <w:pPr>
        <w:pStyle w:val="Heading2"/>
      </w:pPr>
      <w:r>
        <w:t xml:space="preserve">4. Emission Calculation (Activity * Emission Factor = CO2e)</w:t>
      </w:r>
    </w:p>
    <w:p>
      <w:pPr>
        <w:pStyle w:val="FirstParagraph"/>
      </w:pPr>
      <w:r>
        <w:t xml:space="preserve">Calculations are performed by multiplying the activity data collected for each lifecycle stage by appropriate emission factors. Industry-standard emission factors from reputable sources (e.g., Ecoinvent database, DEFRA conversion factors) are used where specific factors were not provided, alongside the specific factors from the BOM.</w:t>
      </w:r>
    </w:p>
    <w:bookmarkStart w:id="34" w:name="X67e72bf8cec851fd1fab2ac533e8c190b53bc32"/>
    <w:p>
      <w:pPr>
        <w:pStyle w:val="Heading3"/>
      </w:pPr>
      <w:r>
        <w:t xml:space="preserve">4.1. Total Carbon Footprint Summary for ujddoegpoq</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 per functional unit)</w:t>
            </w:r>
          </w:p>
        </w:tc>
        <w:tc>
          <w:tcPr/>
          <w:p>
            <w:pPr>
              <w:pStyle w:val="Compact"/>
              <w:jc w:val="left"/>
            </w:pPr>
            <w:r>
              <w:t xml:space="preserve">Calculation Basis / Notes</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1.525</w:t>
            </w:r>
          </w:p>
        </w:tc>
        <w:tc>
          <w:tcPr/>
          <w:p>
            <w:pPr>
              <w:pStyle w:val="Compact"/>
              <w:jc w:val="left"/>
            </w:pPr>
            <w:r>
              <w:t xml:space="preserve">Based on illustrative BOM data from `sqdjnkej` (Sum of Total Carbon).</w:t>
            </w:r>
          </w:p>
        </w:tc>
      </w:tr>
      <w:tr>
        <w:tc>
          <w:tcPr/>
          <w:p>
            <w:pPr>
              <w:pStyle w:val="Compact"/>
              <w:jc w:val="left"/>
            </w:pPr>
            <w:r>
              <w:t xml:space="preserve">Manufacturing - Scope 1 (Direct)</w:t>
            </w:r>
          </w:p>
        </w:tc>
        <w:tc>
          <w:tcPr/>
          <w:p>
            <w:pPr>
              <w:pStyle w:val="Compact"/>
              <w:jc w:val="left"/>
            </w:pPr>
            <w:r>
              <w:t xml:space="preserve">Scope 1</w:t>
            </w:r>
          </w:p>
        </w:tc>
        <w:tc>
          <w:tcPr/>
          <w:p>
            <w:pPr>
              <w:pStyle w:val="Compact"/>
              <w:jc w:val="left"/>
            </w:pPr>
            <w:r>
              <w:t xml:space="preserve">0.05</w:t>
            </w:r>
          </w:p>
        </w:tc>
        <w:tc>
          <w:tcPr/>
          <w:p>
            <w:pPr>
              <w:pStyle w:val="Compact"/>
              <w:jc w:val="left"/>
            </w:pPr>
            <w:r>
              <w:t xml:space="preserve">On-site fuel combustion (illustrative minor contribution).</w:t>
            </w:r>
          </w:p>
        </w:tc>
      </w:tr>
      <w:tr>
        <w:tc>
          <w:tcPr/>
          <w:p>
            <w:pPr>
              <w:pStyle w:val="Compact"/>
              <w:jc w:val="left"/>
            </w:pPr>
            <w:r>
              <w:t xml:space="preserve">Manufacturing - Scope 2 (Electricity)</w:t>
            </w:r>
          </w:p>
        </w:tc>
        <w:tc>
          <w:tcPr/>
          <w:p>
            <w:pPr>
              <w:pStyle w:val="Compact"/>
              <w:jc w:val="left"/>
            </w:pPr>
            <w:r>
              <w:t xml:space="preserve">Scope 2</w:t>
            </w:r>
          </w:p>
        </w:tc>
        <w:tc>
          <w:tcPr/>
          <w:p>
            <w:pPr>
              <w:pStyle w:val="Compact"/>
              <w:jc w:val="left"/>
            </w:pPr>
            <w:r>
              <w:t xml:space="preserve">1.84</w:t>
            </w:r>
          </w:p>
        </w:tc>
        <w:tc>
          <w:tcPr/>
          <w:p>
            <w:pPr>
              <w:pStyle w:val="Compact"/>
              <w:jc w:val="left"/>
            </w:pPr>
            <w:r>
              <w:t xml:space="preserve">Based on Energy Intensity (`grzlnunvth` = 5.0 kWh/unit), Renewable Energy Usage (`pztuenwnvz` = 40%), and an illustrative China grid EF (~0.6 kg CO2e/kWh for non-renewable, 0.02 kg CO2e/kWh for renewable infrastructure).</w:t>
            </w:r>
          </w:p>
        </w:tc>
      </w:tr>
      <w:tr>
        <w:tc>
          <w:tcPr/>
          <w:p>
            <w:pPr>
              <w:pStyle w:val="Compact"/>
              <w:jc w:val="left"/>
            </w:pPr>
            <w:r>
              <w:t xml:space="preserve">Transportation (Upstream &amp; Downstream)</w:t>
            </w:r>
          </w:p>
        </w:tc>
        <w:tc>
          <w:tcPr/>
          <w:p>
            <w:pPr>
              <w:pStyle w:val="Compact"/>
              <w:jc w:val="left"/>
            </w:pPr>
            <w:r>
              <w:t xml:space="preserve">Scope 3 (Upstream/Downstream)</w:t>
            </w:r>
          </w:p>
        </w:tc>
        <w:tc>
          <w:tcPr/>
          <w:p>
            <w:pPr>
              <w:pStyle w:val="Compact"/>
              <w:jc w:val="left"/>
            </w:pPr>
            <w:r>
              <w:t xml:space="preserve">0.055</w:t>
            </w:r>
          </w:p>
        </w:tc>
        <w:tc>
          <w:tcPr/>
          <w:p>
            <w:pPr>
              <w:pStyle w:val="Compact"/>
              <w:jc w:val="left"/>
            </w:pPr>
            <w:r>
              <w:t xml:space="preserve">Based on illustrative `Select Mode` (Ocean Freight) and `Delivery Type` (Road Transport) over `wfhidmjuor` (12000 km) and 500 km last mile, for an illustrative product weight of 0.5 kg.</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c>
          <w:tcPr/>
          <w:p>
            <w:pPr>
              <w:pStyle w:val="Compact"/>
              <w:jc w:val="left"/>
            </w:pPr>
            <w:r>
              <w:t xml:space="preserve">Based on Product Lifespan (`kzrymozyll` = 5 years) and Energy Consumption in Use (`ppeoyhlwuz` = 10.0 kWh/year), with an illustrative Use Phase grid EF (~0.3 kg CO2e/kWh).</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-0.32</w:t>
            </w:r>
          </w:p>
        </w:tc>
        <w:tc>
          <w:tcPr/>
          <w:p>
            <w:pPr>
              <w:pStyle w:val="Compact"/>
              <w:jc w:val="left"/>
            </w:pPr>
            <w:r>
              <w:t xml:space="preserve">Based on Recyclability Percentage (`ykfvyhnzfn` = 70%) and Circular Programs (`xesjfodhpn`), showing a net credit due to recycling.</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18.15 kg CO2e</w:t>
            </w:r>
          </w:p>
        </w:tc>
        <w:tc>
          <w:tcPr/>
          <w:p>
            <w:pPr>
              <w:pStyle w:val="Compact"/>
              <w:jc w:val="left"/>
            </w:pPr>
            <w:r>
              <w:t xml:space="preserve">Sum of emissions across all lifecycle stages.</w:t>
            </w:r>
          </w:p>
        </w:tc>
      </w:tr>
    </w:tbl>
    <w:bookmarkEnd w:id="34"/>
    <w:bookmarkStart w:id="35" w:name="ghg-protocol-scope-breakdown"/>
    <w:p>
      <w:pPr>
        <w:pStyle w:val="Heading3"/>
      </w:pPr>
      <w:r>
        <w:t xml:space="preserve">4.2. GHG Protocol Scope Breakdown</w:t>
      </w:r>
    </w:p>
    <w:p>
      <w:pPr>
        <w:pStyle w:val="FirstParagraph"/>
      </w:pPr>
      <w:r>
        <w:t xml:space="preserve">The total PCF is further disaggregated according to the GHG Protocol\'s Scope definitions: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Illustrative Emissions (kg CO2e)</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0.05</w:t>
            </w:r>
          </w:p>
        </w:tc>
        <w:tc>
          <w:tcPr/>
          <w:p>
            <w:pPr>
              <w:pStyle w:val="Compact"/>
              <w:jc w:val="left"/>
            </w:pPr>
            <w:r>
              <w:t xml:space="preserve">0.28%</w:t>
            </w:r>
          </w:p>
        </w:tc>
      </w:tr>
      <w:tr>
        <w:tc>
          <w:tcPr/>
          <w:p>
            <w:pPr>
              <w:pStyle w:val="Compact"/>
              <w:jc w:val="left"/>
            </w:pPr>
            <w:r>
              <w:t xml:space="preserve">Scope 2 (Purchased Energy Emissions)</w:t>
            </w:r>
          </w:p>
        </w:tc>
        <w:tc>
          <w:tcPr/>
          <w:p>
            <w:pPr>
              <w:pStyle w:val="Compact"/>
              <w:jc w:val="left"/>
            </w:pPr>
            <w:r>
              <w:t xml:space="preserve">1.84</w:t>
            </w:r>
          </w:p>
        </w:tc>
        <w:tc>
          <w:tcPr/>
          <w:p>
            <w:pPr>
              <w:pStyle w:val="Compact"/>
              <w:jc w:val="left"/>
            </w:pPr>
            <w:r>
              <w:t xml:space="preserve">10.14%</w:t>
            </w:r>
          </w:p>
        </w:tc>
      </w:tr>
      <w:tr>
        <w:tc>
          <w:tcPr/>
          <w:p>
            <w:pPr>
              <w:pStyle w:val="Compact"/>
              <w:jc w:val="left"/>
            </w:pPr>
            <w:r>
              <w:t xml:space="preserve">Scope 3 (Value Chain Emissions)</w:t>
            </w:r>
          </w:p>
        </w:tc>
        <w:tc>
          <w:tcPr/>
          <w:p>
            <w:pPr>
              <w:pStyle w:val="Compact"/>
              <w:jc w:val="left"/>
            </w:pPr>
            <w:r>
              <w:t xml:space="preserve">16.26</w:t>
            </w:r>
          </w:p>
        </w:tc>
        <w:tc>
          <w:tcPr/>
          <w:p>
            <w:pPr>
              <w:pStyle w:val="Compact"/>
              <w:jc w:val="left"/>
            </w:pPr>
            <w:r>
              <w:t xml:space="preserve">89.58%</w:t>
            </w:r>
          </w:p>
        </w:tc>
      </w:tr>
      <w:tr>
        <w:tc>
          <w:tcPr/>
          <w:p>
            <w:pPr>
              <w:pStyle w:val="Compact"/>
              <w:jc w:val="left"/>
            </w:pPr>
            <w:r>
              <w:rPr>
                <w:bCs/>
                <w:b/>
              </w:rPr>
              <w:t xml:space="preserve">Total PCF</w:t>
            </w:r>
          </w:p>
        </w:tc>
        <w:tc>
          <w:tcPr/>
          <w:p>
            <w:pPr>
              <w:pStyle w:val="Compact"/>
              <w:jc w:val="left"/>
            </w:pPr>
            <w:r>
              <w:rPr>
                <w:bCs/>
                <w:b/>
              </w:rPr>
              <w:t xml:space="preserve">18.15 kg CO2e</w:t>
            </w:r>
          </w:p>
        </w:tc>
        <w:tc>
          <w:tcPr/>
          <w:p>
            <w:pPr>
              <w:pStyle w:val="Compact"/>
              <w:jc w:val="left"/>
            </w:pPr>
            <w:r>
              <w:rPr>
                <w:bCs/>
                <w:b/>
              </w:rPr>
              <w:t xml:space="preserve">100%</w:t>
            </w:r>
          </w:p>
        </w:tc>
      </w:tr>
    </w:tbl>
    <w:p>
      <w:pPr>
        <w:pStyle w:val="BodyText"/>
      </w:pPr>
      <w:r>
        <w:rPr>
          <w:iCs/>
          <w:i/>
        </w:rPr>
        <w:t xml:space="preserve">Note on Scope 3 Coverage: This analysis demonstrates the methodology to achieve greater than 95% coverage for Scope 3 emissions, aligning with 2026 GHG Protocol reporting requirements. The illustrative figures presented are representative of how a comprehensive Scope 3 inventory would be structured.</w:t>
      </w:r>
    </w:p>
    <w:bookmarkEnd w:id="35"/>
    <w:bookmarkStart w:id="36" w:name="Xa4cd520132ca8e9e3f29e21de3f4a8c33c191a4"/>
    <w:p>
      <w:pPr>
        <w:pStyle w:val="Heading3"/>
      </w:pPr>
      <w:r>
        <w:t xml:space="preserve">4.3. Land Sector and Removals (LSR) Standard Application (2026 Update)</w:t>
      </w:r>
    </w:p>
    <w:p>
      <w:pPr>
        <w:pStyle w:val="FirstParagraph"/>
      </w:pPr>
      <w:r>
        <w:t xml:space="preserve">In accordance with the 2026 LSR Standard, potential land-use change impacts and carbon removals associated with biomass-derived materials or specific processes (e.g., bioenergy with carbon capture, afforestation projects within the supply chain) would be quantified and reported. As no specific data on land use or removals was provided in the parameters for ujddoegpoq, this report notes the requirement and assumes negligible impact or removal credits in the current illustrative calculation. A detailed assessment of raw material origins and any associated land-use changes would be conducted in a live scenario.</w:t>
      </w:r>
    </w:p>
    <w:p>
      <w:r>
        <w:pict>
          <v:rect style="width:0;height:1.5pt" o:hralign="center" o:hrstd="t" o:hr="t"/>
        </w:pict>
      </w:r>
    </w:p>
    <w:bookmarkEnd w:id="36"/>
    <w:bookmarkEnd w:id="37"/>
    <w:bookmarkStart w:id="42"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Based on the analysis and illustrative calculations, the primary emission hotspots for ujddoegpoq are:</w:t>
      </w:r>
    </w:p>
    <w:p>
      <w:pPr>
        <w:numPr>
          <w:ilvl w:val="0"/>
          <w:numId w:val="1010"/>
        </w:numPr>
        <w:pStyle w:val="Compact"/>
      </w:pPr>
      <w:r>
        <w:rPr>
          <w:bCs/>
          <w:b/>
        </w:rPr>
        <w:t xml:space="preserve">Use Phase:</w:t>
      </w:r>
      <w:r>
        <w:t xml:space="preserve"> </w:t>
      </w:r>
      <w:r>
        <w:t xml:space="preserve">With an illustrative contribution of 15.00 kg CO2e, the energy consumption during the product\'s operational lifespan (`kzrymozyll` years, `ppeoyhlwuz` kWh/year) represents the most significant portion of the downstream footprint, heavily influenced by the energy mix of the end-user\'s region.</w:t>
      </w:r>
    </w:p>
    <w:p>
      <w:pPr>
        <w:numPr>
          <w:ilvl w:val="0"/>
          <w:numId w:val="1010"/>
        </w:numPr>
        <w:pStyle w:val="Compact"/>
      </w:pPr>
      <w:r>
        <w:rPr>
          <w:bCs/>
          <w:b/>
        </w:rPr>
        <w:t xml:space="preserve">Material Acquisition &amp; Processing:</w:t>
      </w:r>
      <w:r>
        <w:t xml:space="preserve"> </w:t>
      </w:r>
      <w:r>
        <w:t xml:space="preserve">The sourcing and production of raw materials (1.525 kg CO2e) contribute substantially due to their inherent embodied carbon, as derived from the detailed BOM structure (`sqdjnkej`).</w:t>
      </w:r>
    </w:p>
    <w:p>
      <w:pPr>
        <w:numPr>
          <w:ilvl w:val="0"/>
          <w:numId w:val="1010"/>
        </w:numPr>
        <w:pStyle w:val="Compact"/>
      </w:pPr>
      <w:r>
        <w:rPr>
          <w:bCs/>
          <w:b/>
        </w:rPr>
        <w:t xml:space="preserve">Manufacturing - Scope 2:</w:t>
      </w:r>
      <w:r>
        <w:t xml:space="preserve"> </w:t>
      </w:r>
      <w:r>
        <w:t xml:space="preserve">The purchased electricity for manufacturing in China (1.84 kg CO2e) remains a significant contributor, even with 40% renewable energy usage.</w:t>
      </w:r>
    </w:p>
    <w:p>
      <w:pPr>
        <w:numPr>
          <w:ilvl w:val="0"/>
          <w:numId w:val="1010"/>
        </w:numPr>
        <w:pStyle w:val="Compact"/>
      </w:pPr>
      <w:r>
        <w:rPr>
          <w:bCs/>
          <w:b/>
        </w:rPr>
        <w:t xml:space="preserve">Transportation:</w:t>
      </w:r>
      <w:r>
        <w:t xml:space="preserve"> </w:t>
      </w:r>
      <w:r>
        <w:t xml:space="preserve">Both upstream and downstream logistics (0.055 kg CO2e), covering an illustrative distance of `wfhidmjuor` km via `Select Mode` and `Delivery Type` for last-mile, add to the footprint, particularly given the \'Europe Focused\' supply chain for a product made in \'China\'.</w:t>
      </w:r>
    </w:p>
    <w:bookmarkEnd w:id="38"/>
    <w:bookmarkStart w:id="39" w:name="X788fbff7c021e2a678ac07c45b3966641b0fc80"/>
    <w:p>
      <w:pPr>
        <w:pStyle w:val="Heading3"/>
      </w:pPr>
      <w:r>
        <w:t xml:space="preserve">5.2. Recommendations for Carbon Footprint Reduction</w:t>
      </w:r>
    </w:p>
    <w:p>
      <w:pPr>
        <w:numPr>
          <w:ilvl w:val="0"/>
          <w:numId w:val="1011"/>
        </w:numPr>
        <w:pStyle w:val="Compact"/>
      </w:pPr>
      <w:r>
        <w:rPr>
          <w:bCs/>
          <w:b/>
        </w:rPr>
        <w:t xml:space="preserve">Optimize Use Phase Efficiency:</w:t>
      </w:r>
      <w:r>
        <w:t xml:space="preserve"> </w:t>
      </w:r>
      <w:r>
        <w:t xml:space="preserve">Focus on designing ujddoegpoq for maximum energy efficiency during its operational life and explore incentives or technologies for end-users to power the product with cleaner energy sources. Extending product lifespan (`kzrymozyll`) through enhanced durability and repairability will also reduce per-use emissions.</w:t>
      </w:r>
    </w:p>
    <w:p>
      <w:pPr>
        <w:numPr>
          <w:ilvl w:val="0"/>
          <w:numId w:val="1011"/>
        </w:numPr>
        <w:pStyle w:val="Compact"/>
      </w:pPr>
      <w:r>
        <w:rPr>
          <w:bCs/>
          <w:b/>
        </w:rPr>
        <w:t xml:space="preserve">Material Decarbonization:</w:t>
      </w:r>
      <w:r>
        <w:t xml:space="preserve"> </w:t>
      </w:r>
      <w:r>
        <w:t xml:space="preserve">Actively investigate and integrate alternative materials with lower embodied carbon, increase recycled content (beyond `ykfvyhnzfn`%), and design for easier disassembly and material recovery.</w:t>
      </w:r>
    </w:p>
    <w:p>
      <w:pPr>
        <w:numPr>
          <w:ilvl w:val="0"/>
          <w:numId w:val="1011"/>
        </w:numPr>
        <w:pStyle w:val="Compact"/>
      </w:pPr>
      <w:r>
        <w:rPr>
          <w:bCs/>
          <w:b/>
        </w:rPr>
        <w:t xml:space="preserve">Manufacturing Energy Transition:</w:t>
      </w:r>
      <w:r>
        <w:t xml:space="preserve"> </w:t>
      </w:r>
      <w:r>
        <w:t xml:space="preserve">Further increase the share of renewable energy at the manufacturing facility beyond `pztuenwnvz`% and implement continuous energy efficiency improvements to reduce `grzlnunvth` kWh/unit.</w:t>
      </w:r>
    </w:p>
    <w:p>
      <w:pPr>
        <w:numPr>
          <w:ilvl w:val="0"/>
          <w:numId w:val="1011"/>
        </w:numPr>
        <w:pStyle w:val="Compact"/>
      </w:pPr>
      <w:r>
        <w:rPr>
          <w:bCs/>
          <w:b/>
        </w:rPr>
        <w:t xml:space="preserve">Supply Chain Logistics Optimization:</w:t>
      </w:r>
      <w:r>
        <w:t xml:space="preserve"> </w:t>
      </w:r>
      <w:r>
        <w:t xml:space="preserve">Explore opportunities to reduce transport distances, optimize logistics routes and load factors, and prioritize lower-emission transport modes where feasible, especially given the `Europe Focused` supply chain for production in `China`.</w:t>
      </w:r>
    </w:p>
    <w:p>
      <w:pPr>
        <w:numPr>
          <w:ilvl w:val="0"/>
          <w:numId w:val="1011"/>
        </w:numPr>
        <w:pStyle w:val="Compact"/>
      </w:pPr>
      <w:r>
        <w:rPr>
          <w:bCs/>
          <w:b/>
        </w:rPr>
        <w:t xml:space="preserve">Enhance Circular Economy Integration:</w:t>
      </w:r>
      <w:r>
        <w:t xml:space="preserve"> </w:t>
      </w:r>
      <w:r>
        <w:t xml:space="preserve">Expand and strengthen the existing `xesjfodhpn` programs and develop new take-back, refurbishment, and remarketing schemes to maximize material value retention and minimize waste sent to disposal.</w:t>
      </w:r>
    </w:p>
    <w:bookmarkEnd w:id="39"/>
    <w:bookmarkStart w:id="41" w:name="data-reliability-and-limitations"/>
    <w:p>
      <w:pPr>
        <w:pStyle w:val="Heading3"/>
      </w:pPr>
      <w:r>
        <w:t xml:space="preserve">5.3. Data Reliability and Limitations</w:t>
      </w:r>
    </w:p>
    <w:p>
      <w:pPr>
        <w:pStyle w:val="FirstParagraph"/>
      </w:pPr>
      <w:r>
        <w:t xml:space="preserve">The reliability of this PCF report is enhanced by the structured application of specific primary data for BOM, energy consumption, and logistics parameters, supplemented by industry-standard secondary data for emission factors. However, it is important to acknowledge limitations:</w:t>
      </w:r>
    </w:p>
    <w:p>
      <w:pPr>
        <w:numPr>
          <w:ilvl w:val="0"/>
          <w:numId w:val="1012"/>
        </w:numPr>
        <w:pStyle w:val="Compact"/>
      </w:pPr>
      <w:r>
        <w:t xml:space="preserve">The quantitative figures presented are illustrative where specific numerical values were provided as placeholders (e.g., `grzlnunvth`, `wfhidmjuor`). Actual calculations would rely on precise data.</w:t>
      </w:r>
    </w:p>
    <w:p>
      <w:pPr>
        <w:numPr>
          <w:ilvl w:val="0"/>
          <w:numId w:val="1012"/>
        </w:numPr>
        <w:pStyle w:val="Compact"/>
      </w:pPr>
      <w:r>
        <w:t xml:space="preserve">While industry-standard emission factors are used (e.g., from Ecoinvent/DEFRA), their applicability can vary based on specific regional and technological contexts.</w:t>
      </w:r>
    </w:p>
    <w:p>
      <w:pPr>
        <w:numPr>
          <w:ilvl w:val="0"/>
          <w:numId w:val="1012"/>
        </w:numPr>
        <w:pStyle w:val="Compact"/>
      </w:pPr>
      <w:r>
        <w:t xml:space="preserve">The complexity of global supply chains means some upstream Scope 3 emissions might be estimated based on industry averages due to data availability constraints.</w:t>
      </w:r>
    </w:p>
    <w:p>
      <w:pPr>
        <w:numPr>
          <w:ilvl w:val="0"/>
          <w:numId w:val="1012"/>
        </w:numPr>
        <w:pStyle w:val="Compact"/>
      </w:pPr>
      <w:r>
        <w:t xml:space="preserve">The accuracy of end-of-life scenario modeling (including `ykfvyhnzfn`% and `xesjfodhpn`) depends on regional waste management infrastructure, market demand for recycled materials, and consumer participation in circular programs.</w:t>
      </w:r>
    </w:p>
    <w:p>
      <w:r>
        <w:pict>
          <v:rect style="width:0;height:1.5pt" o:hralign="center" o:hrstd="t" o:hr="t"/>
        </w:pict>
      </w:r>
    </w:p>
    <w:p>
      <w:pPr>
        <w:pStyle w:val="FirstParagraph"/>
      </w:pPr>
      <w:r>
        <w:t xml:space="preserve">Confidential - Internal Use Only | Page</w:t>
      </w:r>
      <w:r>
        <w:t xml:space="preserve"> </w:t>
      </w:r>
      <w:bookmarkStart w:id="40" w:name="pageNumber"/>
      <w:bookmarkEnd w:id="40"/>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ujddoegpoq</dc:title>
  <dc:creator/>
  <dc:description>Detailed Product Carbon Footprint (PCF) analysis for ujddoegpoq, following GHG Protocol standards, conducted by snueusowow for dnwxvuovsi. This report provides a comprehensive assessment across the product lifecycle.</dc:description>
  <dc:language>en</dc:language>
  <cp:keywords/>
  <dcterms:created xsi:type="dcterms:W3CDTF">2026-07-15T13:36:20Z</dcterms:created>
  <dcterms:modified xsi:type="dcterms:W3CDTF">2026-07-15T13:36:20Z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