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uitiftdfrv</w:t>
      </w:r>
    </w:p>
    <w:p>
      <w:pPr>
        <w:pStyle w:val="FirstParagraph"/>
      </w:pPr>
      <w:r>
        <w:rPr>
          <w:bCs/>
          <w:b/>
        </w:rPr>
        <w:t xml:space="preserve">carboncalcpcf.com</w:t>
      </w:r>
    </w:p>
    <w:bookmarkStart w:id="20" w:name="product-carbon-footprint-report"/>
    <w:p>
      <w:pPr>
        <w:pStyle w:val="Heading1"/>
      </w:pPr>
      <w:r>
        <w:t xml:space="preserve">Product Carbon Footprint Report</w:t>
      </w:r>
    </w:p>
    <w:bookmarkEnd w:id="20"/>
    <w:bookmarkStart w:id="21" w:name="for-uitiftdfrv"/>
    <w:p>
      <w:pPr>
        <w:pStyle w:val="Heading1"/>
      </w:pPr>
      <w:r>
        <w:t xml:space="preserve">for uitiftdfrv</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xlxhpgkudp</w:t>
      </w:r>
    </w:p>
    <w:p>
      <w:pPr>
        <w:pStyle w:val="BodyText"/>
      </w:pPr>
      <w:r>
        <w:rPr>
          <w:bCs/>
          <w:b/>
        </w:rPr>
        <w:t xml:space="preserve">Senior Sustainability Consultant:</w:t>
      </w:r>
      <w:r>
        <w:t xml:space="preserve"> </w:t>
      </w:r>
      <w:r>
        <w:t xml:space="preserve">ifhiwlvzno</w:t>
      </w:r>
    </w:p>
    <w:p>
      <w:pPr>
        <w:pStyle w:val="BodyText"/>
      </w:pPr>
      <w:r>
        <w:t xml:space="preserve">This report is generated based on available data and industry standards. It represents an estimation of the product\'s carbon footprint and should be used for informational and strategic planning purposes.</w:t>
      </w:r>
    </w:p>
    <w:bookmarkEnd w:id="21"/>
    <w:bookmarkStart w:id="48" w:name="X3c7e207d53d91757774d566ff71f11ca4dfc303"/>
    <w:p>
      <w:pPr>
        <w:pStyle w:val="Heading1"/>
      </w:pPr>
      <w:r>
        <w:t xml:space="preserve">Product Carbon Footprint Analysis: uitiftdfrv</w:t>
      </w:r>
    </w:p>
    <w:p>
      <w:pPr>
        <w:pStyle w:val="FirstParagraph"/>
      </w:pPr>
      <w:r>
        <w:rPr>
          <w:bCs/>
          <w:b/>
        </w:rPr>
        <w:t xml:space="preserve">Generated Date:</w:t>
      </w:r>
      <w:r>
        <w:t xml:space="preserve"> </w:t>
      </w:r>
      <w:r>
        <w:t xml:space="preserve">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uitiftdfrv</w:t>
      </w:r>
      <w:r>
        <w:t xml:space="preserve">, manufactured by</w:t>
      </w:r>
      <w:r>
        <w:t xml:space="preserve"> </w:t>
      </w:r>
      <w:r>
        <w:rPr>
          <w:bCs/>
          <w:b/>
        </w:rPr>
        <w:t xml:space="preserve">xlxhpgkudp</w:t>
      </w:r>
      <w:r>
        <w:t xml:space="preserve">. Prepared by</w:t>
      </w:r>
      <w:r>
        <w:t xml:space="preserve"> </w:t>
      </w:r>
      <w:r>
        <w:rPr>
          <w:bCs/>
          <w:b/>
        </w:rPr>
        <w:t xml:space="preserve">ifhiwlvzno</w:t>
      </w:r>
      <w:r>
        <w:t xml:space="preserve">, Senior Sustainability Consultant specializing in GHG Protocol, this analysis adheres to the Greenhouse Gas (GHG) Protocol Corporate Value Chain (Scope 3) Standard, including the 2026 Land Sector and Removals (LSR) Standard update. The primary goal is to quantify the greenhouse gas emissions associated with the entire lifecycle of one functional unit of uitiftdfrv, identify emission hotspots, and provide actionable insights for emission reduction strategies. A detailed Bill of Materials (BOM) has been utilized for high-accuracy material impact calculation, alongside specific logistics, energy, use phase, and end-of-life data.</w:t>
      </w:r>
    </w:p>
    <w:p>
      <w:r>
        <w:pict>
          <v:rect style="width:0;height:1.5pt" o:hralign="center" o:hrstd="t" o:hr="t"/>
        </w:pict>
      </w:r>
    </w:p>
    <w:bookmarkEnd w:id="22"/>
    <w:bookmarkStart w:id="27" w:name="defining-the-scope-of-analysis"/>
    <w:p>
      <w:pPr>
        <w:pStyle w:val="Heading2"/>
      </w:pPr>
      <w:r>
        <w:t xml:space="preserve">1. Defining the Scope of Analysis</w:t>
      </w:r>
    </w:p>
    <w:p>
      <w:pPr>
        <w:pStyle w:val="FirstParagraph"/>
      </w:pPr>
      <w:r>
        <w:t xml:space="preserve">The foundation of this Product Carbon Footprint (PCF) analysis is built upon clear definitions of the functional unit, system boundaries, geographic scope, and allocation methods, in full adherence to the</w:t>
      </w:r>
      <w:r>
        <w:t xml:space="preserve"> </w:t>
      </w:r>
      <w:r>
        <w:rPr>
          <w:bCs/>
          <w:b/>
        </w:rPr>
        <w:t xml:space="preserve">GHG Protocol</w:t>
      </w:r>
      <w:r>
        <w:t xml:space="preserve"> </w:t>
      </w:r>
      <w:r>
        <w:t xml:space="preserve">standards.</w:t>
      </w:r>
    </w:p>
    <w:bookmarkStart w:id="23"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uitiftdfrv</w:t>
      </w:r>
      <w:r>
        <w:t xml:space="preserve">. This unit serves as the reference basis for all quantified environmental impacts, allowing for consistent comparison and analysis.</w:t>
      </w:r>
    </w:p>
    <w:bookmarkEnd w:id="23"/>
    <w:bookmarkStart w:id="24" w:name="system-boundary"/>
    <w:p>
      <w:pPr>
        <w:pStyle w:val="Heading3"/>
      </w:pPr>
      <w:r>
        <w:t xml:space="preserve">1.2. System Boundary</w:t>
      </w:r>
    </w:p>
    <w:p>
      <w:pPr>
        <w:pStyle w:val="FirstParagraph"/>
      </w:pPr>
      <w:r>
        <w:t xml:space="preserve">The system boundary for the primary production phase is defined as</w:t>
      </w:r>
      <w:r>
        <w:t xml:space="preserve"> </w:t>
      </w:r>
      <w:r>
        <w:rPr>
          <w:bCs/>
          <w:b/>
        </w:rPr>
        <w:t xml:space="preserve">factory_gate</w:t>
      </w:r>
      <w:r>
        <w:t xml:space="preserve">. However, to provide a comprehensive cradle-to-grave PCF as per best practices and the detailed parameters provided, the analysis extends beyond the factory gate to include upstream material acquisition and processing, all relevant transport stages, the product\'s use phase, and its end-of-life (EoL) treatment. This comprehensive approach ensures robust</w:t>
      </w:r>
      <w:r>
        <w:t xml:space="preserve"> </w:t>
      </w:r>
      <w:r>
        <w:rPr>
          <w:bCs/>
          <w:b/>
        </w:rPr>
        <w:t xml:space="preserve">Scope 3 compliance</w:t>
      </w:r>
      <w:r>
        <w:t xml:space="preserve">, aiming for at least 95% coverage as per 2026 requirements. The included lifecycle stages are:</w:t>
      </w:r>
    </w:p>
    <w:p>
      <w:pPr>
        <w:numPr>
          <w:ilvl w:val="0"/>
          <w:numId w:val="1001"/>
        </w:numPr>
        <w:pStyle w:val="Compact"/>
      </w:pPr>
      <w:r>
        <w:rPr>
          <w:bCs/>
          <w:b/>
        </w:rPr>
        <w:t xml:space="preserve">Upstream (Scope 3, Category 1-8):</w:t>
      </w:r>
      <w:r>
        <w:t xml:space="preserve"> </w:t>
      </w:r>
      <w:r>
        <w:t xml:space="preserve">Raw material extraction, processing, and manufacturing of components, inbound logistics to xlxhpgkudp\'s production facility.</w:t>
      </w:r>
    </w:p>
    <w:p>
      <w:pPr>
        <w:numPr>
          <w:ilvl w:val="0"/>
          <w:numId w:val="1001"/>
        </w:numPr>
        <w:pStyle w:val="Compact"/>
      </w:pPr>
      <w:r>
        <w:rPr>
          <w:bCs/>
          <w:b/>
        </w:rPr>
        <w:t xml:space="preserve">Core Production (Scope 1, 2, 3):</w:t>
      </w:r>
      <w:r>
        <w:t xml:space="preserve"> </w:t>
      </w:r>
      <w:r>
        <w:t xml:space="preserve">xlxhpgkudp\'s manufacturing operations, encompassing direct emissions (Scope 1), purchased electricity (Scope 2), and purchased goods/services not covered by raw materials (Scope 3).</w:t>
      </w:r>
    </w:p>
    <w:p>
      <w:pPr>
        <w:numPr>
          <w:ilvl w:val="0"/>
          <w:numId w:val="1001"/>
        </w:numPr>
        <w:pStyle w:val="Compact"/>
      </w:pPr>
      <w:r>
        <w:rPr>
          <w:bCs/>
          <w:b/>
        </w:rPr>
        <w:t xml:space="preserve">Downstream (Scope 3, Category 9-12):</w:t>
      </w:r>
      <w:r>
        <w:t xml:space="preserve"> </w:t>
      </w:r>
      <w:r>
        <w:t xml:space="preserve">Outbound logistics, retail distribution, product use phase, and end-of-life treatment.</w:t>
      </w:r>
    </w:p>
    <w:bookmarkEnd w:id="24"/>
    <w:bookmarkStart w:id="25" w:name="geographic-scope"/>
    <w:p>
      <w:pPr>
        <w:pStyle w:val="Heading3"/>
      </w:pPr>
      <w:r>
        <w:t xml:space="preserve">1.3. 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intermediate processing primarily within Europe before shipment to China, or finished product distribution in Europe).</w:t>
      </w:r>
    </w:p>
    <w:p>
      <w:pPr>
        <w:pStyle w:val="FirstParagraph"/>
      </w:pPr>
      <w:r>
        <w:t xml:space="preserve">Emission factors and energy grids are selected to reflect these geographical contexts where available.</w:t>
      </w:r>
    </w:p>
    <w:bookmarkEnd w:id="25"/>
    <w:bookmarkStart w:id="26" w:name="allocation"/>
    <w:p>
      <w:pPr>
        <w:pStyle w:val="Heading3"/>
      </w:pPr>
      <w:r>
        <w:t xml:space="preserve">1.4. Allocation</w:t>
      </w:r>
    </w:p>
    <w:p>
      <w:pPr>
        <w:pStyle w:val="FirstParagraph"/>
      </w:pPr>
      <w:r>
        <w:t xml:space="preserve">Allocation of environmental impacts for co-products or recycled content is primarily based on:</w:t>
      </w:r>
    </w:p>
    <w:p>
      <w:pPr>
        <w:numPr>
          <w:ilvl w:val="0"/>
          <w:numId w:val="1003"/>
        </w:numPr>
        <w:pStyle w:val="Compact"/>
      </w:pPr>
      <w:r>
        <w:rPr>
          <w:bCs/>
          <w:b/>
        </w:rPr>
        <w:t xml:space="preserve">Mass Allocation:</w:t>
      </w:r>
      <w:r>
        <w:t xml:space="preserve"> </w:t>
      </w:r>
      <w:r>
        <w:t xml:space="preserve">Where relevant, impacts are distributed based on the mass of co-products.</w:t>
      </w:r>
    </w:p>
    <w:p>
      <w:pPr>
        <w:numPr>
          <w:ilvl w:val="0"/>
          <w:numId w:val="1003"/>
        </w:numPr>
        <w:pStyle w:val="Compact"/>
      </w:pPr>
      <w:r>
        <w:rPr>
          <w:bCs/>
          <w:b/>
        </w:rPr>
        <w:t xml:space="preserve">Recycled Content:</w:t>
      </w:r>
      <w:r>
        <w:t xml:space="preserve"> </w:t>
      </w:r>
      <w:r>
        <w:t xml:space="preserve">The "cut-off" approach is generally applied, where the burden of recycling is borne by the system that produces the recycled material, and the system using the recycled material benefits from avoiding virgin material production.</w:t>
      </w:r>
    </w:p>
    <w:p>
      <w:r>
        <w:pict>
          <v:rect style="width:0;height:1.5pt" o:hralign="center" o:hrstd="t" o:hr="t"/>
        </w:pict>
      </w:r>
    </w:p>
    <w:bookmarkEnd w:id="26"/>
    <w:bookmarkEnd w:id="27"/>
    <w:bookmarkStart w:id="33" w:name="X89e096e32946a5c17f4fbe03b9311a42584b918"/>
    <w:p>
      <w:pPr>
        <w:pStyle w:val="Heading2"/>
      </w:pPr>
      <w:r>
        <w:t xml:space="preserve">2. Mapping the Lifecycle &amp; 3. Data Collection (LCI Inventory &amp; Data Points)</w:t>
      </w:r>
    </w:p>
    <w:p>
      <w:pPr>
        <w:pStyle w:val="FirstParagraph"/>
      </w:pPr>
      <w:r>
        <w:t xml:space="preserve">This section details the lifecycle stages and the primary and secondary data points collected for the PCF analysis of uitiftdfrv. High-accuracy material impact calculation is ensured through the use of the provided Detailed Bill of Materials (BOM) and specific operational data.</w:t>
      </w:r>
    </w:p>
    <w:bookmarkStart w:id="28" w:name="Xb16dea2eecf6285d2f2efca7f330e165f1dc749"/>
    <w:p>
      <w:pPr>
        <w:pStyle w:val="Heading3"/>
      </w:pPr>
      <w:r>
        <w:t xml:space="preserve">2.1. Detailed Bill of Materials (BOM) - lknmrqxu</w:t>
      </w:r>
    </w:p>
    <w:p>
      <w:pPr>
        <w:pStyle w:val="FirstParagraph"/>
      </w:pPr>
      <w:r>
        <w:t xml:space="preserve">The following detailed Bill of Materials (BOM) provides the foundational data for the upstream material impacts of uitiftdfrv. Emission factors (EF) are representative industry averages (e.g., Ecoinvent/DEFRA equivalents) for the specified categories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(Enclosure)</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Granule Production,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M-003</w:t>
            </w:r>
          </w:p>
        </w:tc>
        <w:tc>
          <w:tcPr/>
          <w:p>
            <w:pPr>
              <w:pStyle w:val="Compact"/>
              <w:jc w:val="left"/>
            </w:pPr>
            <w:r>
              <w:t xml:space="preserve">Silicon Wafer (Chip)</w:t>
            </w:r>
          </w:p>
        </w:tc>
        <w:tc>
          <w:tcPr/>
          <w:p>
            <w:pPr>
              <w:pStyle w:val="Compact"/>
              <w:jc w:val="left"/>
            </w:pPr>
            <w:r>
              <w:t xml:space="preserve">Semiconductors</w:t>
            </w:r>
          </w:p>
        </w:tc>
        <w:tc>
          <w:tcPr/>
          <w:p>
            <w:pPr>
              <w:pStyle w:val="Compact"/>
              <w:jc w:val="left"/>
            </w:pPr>
            <w:r>
              <w:t xml:space="preserve">Wafer Production, Etching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120.0</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Copper Wire (Internal Wiring)</w:t>
            </w:r>
          </w:p>
        </w:tc>
        <w:tc>
          <w:tcPr/>
          <w:p>
            <w:pPr>
              <w:pStyle w:val="Compact"/>
              <w:jc w:val="left"/>
            </w:pPr>
            <w:r>
              <w:t xml:space="preserve">Metals</w:t>
            </w:r>
          </w:p>
        </w:tc>
        <w:tc>
          <w:tcPr/>
          <w:p>
            <w:pPr>
              <w:pStyle w:val="Compact"/>
              <w:jc w:val="left"/>
            </w:pPr>
            <w:r>
              <w:t xml:space="preserve">Primary Production,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Fiber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Chemicals/Energy Storage</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bl>
    <w:bookmarkEnd w:id="28"/>
    <w:bookmarkStart w:id="29" w:name="energy-inputs-production-phase"/>
    <w:p>
      <w:pPr>
        <w:pStyle w:val="Heading3"/>
      </w:pPr>
      <w:r>
        <w:t xml:space="preserve">2.2. Energy Inputs (Production Phase)</w:t>
      </w:r>
    </w:p>
    <w:p>
      <w:pPr>
        <w:pStyle w:val="FirstParagraph"/>
      </w:pPr>
      <w:r>
        <w:t xml:space="preserve">Customized energy data for the production phase at xlxhpgkudp\'s facility in China:</w:t>
      </w:r>
    </w:p>
    <w:p>
      <w:pPr>
        <w:numPr>
          <w:ilvl w:val="0"/>
          <w:numId w:val="1004"/>
        </w:numPr>
        <w:pStyle w:val="Compact"/>
      </w:pPr>
      <w:r>
        <w:rPr>
          <w:bCs/>
          <w:b/>
        </w:rPr>
        <w:t xml:space="preserve">Energy Intensity (kWh/unit):</w:t>
      </w:r>
      <w:r>
        <w:t xml:space="preserve"> </w:t>
      </w:r>
      <w:r>
        <w:t xml:space="preserve">eezqyuphvz kWh/unit (Assumed: 5 kWh/unit)</w:t>
      </w:r>
    </w:p>
    <w:p>
      <w:pPr>
        <w:numPr>
          <w:ilvl w:val="0"/>
          <w:numId w:val="1004"/>
        </w:numPr>
        <w:pStyle w:val="Compact"/>
      </w:pPr>
      <w:r>
        <w:rPr>
          <w:bCs/>
          <w:b/>
        </w:rPr>
        <w:t xml:space="preserve">Renewable Energy Usage:</w:t>
      </w:r>
      <w:r>
        <w:t xml:space="preserve"> </w:t>
      </w:r>
      <w:r>
        <w:t xml:space="preserve">kknlrojpex (Assumed: 70%)</w:t>
      </w:r>
    </w:p>
    <w:p>
      <w:pPr>
        <w:pStyle w:val="FirstParagraph"/>
      </w:pPr>
      <w:r>
        <w:t xml:space="preserve">This means 70% of the electricity consumed is from renewable sources (e.g., wind, solar), while 30% comes from the local grid mix in China. The emission factor for grid electricity in China (average) is approximately 0.5-0.7 kg CO2e/kWh, and 0 kg CO2e/kWh for renewable energy (location-based method). For this report, an average grid EF of 0.6 kg CO2e/kWh is used for the non-renewable portion.</w:t>
      </w:r>
    </w:p>
    <w:bookmarkEnd w:id="29"/>
    <w:bookmarkStart w:id="30" w:name="logistics-data"/>
    <w:p>
      <w:pPr>
        <w:pStyle w:val="Heading3"/>
      </w:pPr>
      <w:r>
        <w:t xml:space="preserve">2.3. Logistics Data</w:t>
      </w:r>
    </w:p>
    <w:p>
      <w:pPr>
        <w:pStyle w:val="FirstParagraph"/>
      </w:pPr>
      <w:r>
        <w:t xml:space="preserve">Specific logistics data has been incorporated into the supply chain analysis:</w:t>
      </w:r>
    </w:p>
    <w:p>
      <w:pPr>
        <w:numPr>
          <w:ilvl w:val="0"/>
          <w:numId w:val="1005"/>
        </w:numPr>
        <w:pStyle w:val="Compact"/>
      </w:pPr>
      <w:r>
        <w:rPr>
          <w:bCs/>
          <w:b/>
        </w:rPr>
        <w:t xml:space="preserve">Upstream Transport (Materials to Factory):</w:t>
      </w:r>
    </w:p>
    <w:p>
      <w:pPr>
        <w:numPr>
          <w:ilvl w:val="1"/>
          <w:numId w:val="1006"/>
        </w:numPr>
        <w:pStyle w:val="Compact"/>
      </w:pPr>
      <w:r>
        <w:rPr>
          <w:bCs/>
          <w:b/>
        </w:rPr>
        <w:t xml:space="preserve">Transport Mode:</w:t>
      </w:r>
      <w:r>
        <w:t xml:space="preserve"> </w:t>
      </w:r>
      <w:r>
        <w:t xml:space="preserve">Sea Freight (e.g., from Europe to China)</w:t>
      </w:r>
    </w:p>
    <w:p>
      <w:pPr>
        <w:numPr>
          <w:ilvl w:val="1"/>
          <w:numId w:val="1006"/>
        </w:numPr>
        <w:pStyle w:val="Compact"/>
      </w:pPr>
      <w:r>
        <w:rPr>
          <w:bCs/>
          <w:b/>
        </w:rPr>
        <w:t xml:space="preserve">Transport Distance:</w:t>
      </w:r>
      <w:r>
        <w:t xml:space="preserve"> </w:t>
      </w:r>
      <w:r>
        <w:t xml:space="preserve">1500 km (sea)</w:t>
      </w:r>
    </w:p>
    <w:p>
      <w:pPr>
        <w:numPr>
          <w:ilvl w:val="1"/>
          <w:numId w:val="1006"/>
        </w:numPr>
        <w:pStyle w:val="Compact"/>
      </w:pPr>
      <w:r>
        <w:rPr>
          <w:bCs/>
          <w:b/>
        </w:rPr>
        <w:t xml:space="preserve">Emission Factor (Sea Freight):</w:t>
      </w:r>
      <w:r>
        <w:t xml:space="preserve"> </w:t>
      </w:r>
      <w:r>
        <w:t xml:space="preserve">Approx. 0.01 kg CO2e/tkm</w:t>
      </w:r>
    </w:p>
    <w:p>
      <w:pPr>
        <w:numPr>
          <w:ilvl w:val="0"/>
          <w:numId w:val="1005"/>
        </w:numPr>
        <w:pStyle w:val="Compact"/>
      </w:pPr>
      <w:r>
        <w:rPr>
          <w:bCs/>
          <w:b/>
        </w:rPr>
        <w:t xml:space="preserve">Inland Transport (within China/Europe):</w:t>
      </w:r>
    </w:p>
    <w:p>
      <w:pPr>
        <w:numPr>
          <w:ilvl w:val="1"/>
          <w:numId w:val="1007"/>
        </w:numPr>
        <w:pStyle w:val="Compact"/>
      </w:pPr>
      <w:r>
        <w:rPr>
          <w:bCs/>
          <w:b/>
        </w:rPr>
        <w:t xml:space="preserve">Transport Mode:</w:t>
      </w:r>
      <w:r>
        <w:t xml:space="preserve"> </w:t>
      </w:r>
      <w:r>
        <w:t xml:space="preserve">Road Freight (HGV &gt; 16t)</w:t>
      </w:r>
    </w:p>
    <w:p>
      <w:pPr>
        <w:numPr>
          <w:ilvl w:val="1"/>
          <w:numId w:val="1007"/>
        </w:numPr>
        <w:pStyle w:val="Compact"/>
      </w:pPr>
      <w:r>
        <w:rPr>
          <w:bCs/>
          <w:b/>
        </w:rPr>
        <w:t xml:space="preserve">Transport Distance:</w:t>
      </w:r>
      <w:r>
        <w:t xml:space="preserve"> </w:t>
      </w:r>
      <w:r>
        <w:t xml:space="preserve">300 km (road)</w:t>
      </w:r>
    </w:p>
    <w:p>
      <w:pPr>
        <w:numPr>
          <w:ilvl w:val="1"/>
          <w:numId w:val="1007"/>
        </w:numPr>
        <w:pStyle w:val="Compact"/>
      </w:pPr>
      <w:r>
        <w:rPr>
          <w:bCs/>
          <w:b/>
        </w:rPr>
        <w:t xml:space="preserve">Emission Factor (Road Freight):</w:t>
      </w:r>
      <w:r>
        <w:t xml:space="preserve"> </w:t>
      </w:r>
      <w:r>
        <w:t xml:space="preserve">Approx. 0.09 kg CO2e/tkm</w:t>
      </w:r>
    </w:p>
    <w:p>
      <w:pPr>
        <w:numPr>
          <w:ilvl w:val="0"/>
          <w:numId w:val="1005"/>
        </w:numPr>
        <w:pStyle w:val="Compact"/>
      </w:pPr>
      <w:r>
        <w:rPr>
          <w:bCs/>
          <w:b/>
        </w:rPr>
        <w:t xml:space="preserve">Last-Mile Delivery Channel (Finished Product):</w:t>
      </w:r>
    </w:p>
    <w:p>
      <w:pPr>
        <w:numPr>
          <w:ilvl w:val="1"/>
          <w:numId w:val="1008"/>
        </w:numPr>
        <w:pStyle w:val="Compact"/>
      </w:pPr>
      <w:r>
        <w:rPr>
          <w:bCs/>
          <w:b/>
        </w:rPr>
        <w:t xml:space="preserve">Delivery Type:</w:t>
      </w:r>
      <w:r>
        <w:t xml:space="preserve"> </w:t>
      </w:r>
      <w:r>
        <w:t xml:space="preserve">Parcel Delivery Van</w:t>
      </w:r>
    </w:p>
    <w:p>
      <w:pPr>
        <w:numPr>
          <w:ilvl w:val="1"/>
          <w:numId w:val="1008"/>
        </w:numPr>
        <w:pStyle w:val="Compact"/>
      </w:pPr>
      <w:r>
        <w:rPr>
          <w:bCs/>
          <w:b/>
        </w:rPr>
        <w:t xml:space="preserve">Average Distance:</w:t>
      </w:r>
      <w:r>
        <w:t xml:space="preserve"> </w:t>
      </w:r>
      <w:r>
        <w:t xml:space="preserve">50 km (Assumed)</w:t>
      </w:r>
    </w:p>
    <w:p>
      <w:pPr>
        <w:numPr>
          <w:ilvl w:val="1"/>
          <w:numId w:val="1008"/>
        </w:numPr>
        <w:pStyle w:val="Compact"/>
      </w:pPr>
      <w:r>
        <w:rPr>
          <w:bCs/>
          <w:b/>
        </w:rPr>
        <w:t xml:space="preserve">Emission Factor (Parcel Van):</w:t>
      </w:r>
      <w:r>
        <w:t xml:space="preserve"> </w:t>
      </w:r>
      <w:r>
        <w:t xml:space="preserve">Approx. 0.3 kg CO2e/tkm (for smaller vehicles/parcels)</w:t>
      </w:r>
    </w:p>
    <w:p>
      <w:pPr>
        <w:pStyle w:val="FirstParagraph"/>
      </w:pPr>
      <w:r>
        <w:t xml:space="preserve">A product weight of 1.75 kg (sum of BOM items) is used for transport calculations.</w:t>
      </w:r>
    </w:p>
    <w:bookmarkEnd w:id="30"/>
    <w:bookmarkStart w:id="31" w:name="use-phase-data"/>
    <w:p>
      <w:pPr>
        <w:pStyle w:val="Heading3"/>
      </w:pPr>
      <w:r>
        <w:t xml:space="preserve">2.4. Use Phase Data</w:t>
      </w:r>
    </w:p>
    <w:p>
      <w:pPr>
        <w:pStyle w:val="FirstParagraph"/>
      </w:pPr>
      <w:r>
        <w:t xml:space="preserve">The use phase calculation uses the following specific durability and consumption data:</w:t>
      </w:r>
    </w:p>
    <w:p>
      <w:pPr>
        <w:numPr>
          <w:ilvl w:val="0"/>
          <w:numId w:val="1009"/>
        </w:numPr>
        <w:pStyle w:val="Compact"/>
      </w:pPr>
      <w:r>
        <w:rPr>
          <w:bCs/>
          <w:b/>
        </w:rPr>
        <w:t xml:space="preserve">Product Lifespan:</w:t>
      </w:r>
      <w:r>
        <w:t xml:space="preserve"> </w:t>
      </w:r>
      <w:r>
        <w:t xml:space="preserve">puivemhuiz (Assumed: 5 years)</w:t>
      </w:r>
    </w:p>
    <w:p>
      <w:pPr>
        <w:numPr>
          <w:ilvl w:val="0"/>
          <w:numId w:val="1009"/>
        </w:numPr>
        <w:pStyle w:val="Compact"/>
      </w:pPr>
      <w:r>
        <w:rPr>
          <w:bCs/>
          <w:b/>
        </w:rPr>
        <w:t xml:space="preserve">Energy Consumption in Use:</w:t>
      </w:r>
      <w:r>
        <w:t xml:space="preserve"> </w:t>
      </w:r>
      <w:r>
        <w:t xml:space="preserve">ovwgywedjw (Assumed: 20 kWh/year)</w:t>
      </w:r>
    </w:p>
    <w:p>
      <w:pPr>
        <w:pStyle w:val="FirstParagraph"/>
      </w:pPr>
      <w:r>
        <w:t xml:space="preserve">The energy consumed during the use phase is assumed to be from the average global electricity grid mix, with an average emission factor of 0.475 kg CO2e/kWh.</w:t>
      </w:r>
    </w:p>
    <w:bookmarkEnd w:id="31"/>
    <w:bookmarkStart w:id="32" w:name="end-of-life-eol-scenarios"/>
    <w:p>
      <w:pPr>
        <w:pStyle w:val="Heading3"/>
      </w:pPr>
      <w:r>
        <w:t xml:space="preserve">2.5. End-of-Life (EoL) Scenarios</w:t>
      </w:r>
    </w:p>
    <w:p>
      <w:pPr>
        <w:pStyle w:val="FirstParagraph"/>
      </w:pPr>
      <w:r>
        <w:t xml:space="preserve">EoL scenarios are incorporated to reflect circular economy impacts:</w:t>
      </w:r>
    </w:p>
    <w:p>
      <w:pPr>
        <w:numPr>
          <w:ilvl w:val="0"/>
          <w:numId w:val="1010"/>
        </w:numPr>
        <w:pStyle w:val="Compact"/>
      </w:pPr>
      <w:r>
        <w:rPr>
          <w:bCs/>
          <w:b/>
        </w:rPr>
        <w:t xml:space="preserve">Recyclability Percentage:</w:t>
      </w:r>
      <w:r>
        <w:t xml:space="preserve"> </w:t>
      </w:r>
      <w:r>
        <w:t xml:space="preserve">ethkypniif (Assumed: 80%)</w:t>
      </w:r>
    </w:p>
    <w:p>
      <w:pPr>
        <w:numPr>
          <w:ilvl w:val="0"/>
          <w:numId w:val="1010"/>
        </w:numPr>
        <w:pStyle w:val="Compact"/>
      </w:pPr>
      <w:r>
        <w:rPr>
          <w:bCs/>
          <w:b/>
        </w:rPr>
        <w:t xml:space="preserve">Circular/Take-back Programs:</w:t>
      </w:r>
      <w:r>
        <w:t xml:space="preserve"> </w:t>
      </w:r>
      <w:r>
        <w:t xml:space="preserve">lfpepqnmyt (Assumed: Company-operated take-back and refurbishment program)</w:t>
      </w:r>
    </w:p>
    <w:p>
      <w:pPr>
        <w:pStyle w:val="FirstParagraph"/>
      </w:pPr>
      <w:r>
        <w:t xml:space="preserve">For the 80% recyclable portion, credit is applied for avoided virgin material production based on recycled material yields. The remaining 20% is assumed to be disposed of (landfill/incineration), with associated emissions.</w:t>
      </w:r>
    </w:p>
    <w:p>
      <w:r>
        <w:pict>
          <v:rect style="width:0;height:1.5pt" o:hralign="center" o:hrstd="t" o:hr="t"/>
        </w:pict>
      </w:r>
    </w:p>
    <w:bookmarkEnd w:id="32"/>
    <w:bookmarkEnd w:id="33"/>
    <w:bookmarkStart w:id="41" w:name="emission-calculation"/>
    <w:p>
      <w:pPr>
        <w:pStyle w:val="Heading2"/>
      </w:pPr>
      <w:r>
        <w:t xml:space="preserve">4. Emission Calculation</w:t>
      </w:r>
    </w:p>
    <w:p>
      <w:pPr>
        <w:pStyle w:val="FirstParagraph"/>
      </w:pPr>
      <w:r>
        <w:t xml:space="preserve">Emissions are calculated using the formula: Activity Data × Emission Factor = CO2e, and categorized according to the GHG Protocol scopes. All calculations consider a functional unit of 1.0 unit of uitiftdfrv.</w:t>
      </w:r>
    </w:p>
    <w:bookmarkStart w:id="34" w:name="scope-1-emissions-direct-emissions"/>
    <w:p>
      <w:pPr>
        <w:pStyle w:val="Heading3"/>
      </w:pPr>
      <w:r>
        <w:t xml:space="preserve">4.1. Scope 1 Emissions (Direct Emissions)</w:t>
      </w:r>
    </w:p>
    <w:p>
      <w:pPr>
        <w:pStyle w:val="FirstParagraph"/>
      </w:pPr>
      <w:r>
        <w:t xml:space="preserve">For xlxhpgkudp\'s facility, direct emissions from owned or controlled sources (e.g., on-site fuel combustion for heating or processes) are considered. Given the provided parameters, and without specific details on fuel consumption, Scope 1 emissions for the factory are assumed to be minimal for this product, primarily focused on electricity usage. If there were on-site combustion, it would be included here.</w:t>
      </w:r>
    </w:p>
    <w:p>
      <w:pPr>
        <w:pStyle w:val="BodyText"/>
      </w:pPr>
      <w:r>
        <w:rPr>
          <w:bCs/>
          <w:b/>
        </w:rPr>
        <w:t xml:space="preserve">Estimated Scope 1 Emissions:</w:t>
      </w:r>
      <w:r>
        <w:t xml:space="preserve"> </w:t>
      </w:r>
      <w:r>
        <w:t xml:space="preserve">0.05 kg CO2e/unit (assumed from minor on-site processes, e.g., leakage, minor fuel use).</w:t>
      </w:r>
    </w:p>
    <w:bookmarkEnd w:id="34"/>
    <w:bookmarkStart w:id="35" w:name="scope-2-emissions-purchased-energy"/>
    <w:p>
      <w:pPr>
        <w:pStyle w:val="Heading3"/>
      </w:pPr>
      <w:r>
        <w:t xml:space="preserve">4.2. Scope 2 Emissions (Purchased Energy)</w:t>
      </w:r>
    </w:p>
    <w:p>
      <w:pPr>
        <w:pStyle w:val="FirstParagraph"/>
      </w:pPr>
      <w:r>
        <w:t xml:space="preserve">These emissions result from the generation of purchased electricity for the production of uitiftdfrv.</w:t>
      </w:r>
    </w:p>
    <w:p>
      <w:pPr>
        <w:numPr>
          <w:ilvl w:val="0"/>
          <w:numId w:val="1011"/>
        </w:numPr>
        <w:pStyle w:val="Compact"/>
      </w:pPr>
      <w:r>
        <w:t xml:space="preserve">Total Production Energy: 5 kWh/unit</w:t>
      </w:r>
    </w:p>
    <w:p>
      <w:pPr>
        <w:numPr>
          <w:ilvl w:val="0"/>
          <w:numId w:val="1011"/>
        </w:numPr>
        <w:pStyle w:val="Compact"/>
      </w:pPr>
      <w:r>
        <w:t xml:space="preserve">Renewable Energy Usage: 70%</w:t>
      </w:r>
    </w:p>
    <w:p>
      <w:pPr>
        <w:numPr>
          <w:ilvl w:val="0"/>
          <w:numId w:val="1011"/>
        </w:numPr>
        <w:pStyle w:val="Compact"/>
      </w:pPr>
      <w:r>
        <w:t xml:space="preserve">Non-Renewable Energy: 30% of 5 kWh = 1.5 kWh/unit</w:t>
      </w:r>
    </w:p>
    <w:p>
      <w:pPr>
        <w:numPr>
          <w:ilvl w:val="0"/>
          <w:numId w:val="1011"/>
        </w:numPr>
        <w:pStyle w:val="Compact"/>
      </w:pPr>
      <w:r>
        <w:t xml:space="preserve">China Grid Emission Factor (average): 0.6 kg CO2e/kWh</w:t>
      </w:r>
    </w:p>
    <w:p>
      <w:pPr>
        <w:numPr>
          <w:ilvl w:val="0"/>
          <w:numId w:val="1011"/>
        </w:numPr>
        <w:pStyle w:val="Compact"/>
      </w:pPr>
      <w:r>
        <w:rPr>
          <w:bCs/>
          <w:b/>
        </w:rPr>
        <w:t xml:space="preserve">Calculation:</w:t>
      </w:r>
      <w:r>
        <w:t xml:space="preserve"> </w:t>
      </w:r>
      <w:r>
        <w:t xml:space="preserve">1.5 kWh/unit * 0.6 kg CO2e/kWh = 0.90 kg CO2e/unit</w:t>
      </w:r>
    </w:p>
    <w:p>
      <w:pPr>
        <w:pStyle w:val="FirstParagraph"/>
      </w:pPr>
      <w:r>
        <w:rPr>
          <w:bCs/>
          <w:b/>
        </w:rPr>
        <w:t xml:space="preserve">Estimated Scope 2 Emissions:</w:t>
      </w:r>
      <w:r>
        <w:t xml:space="preserve"> </w:t>
      </w:r>
      <w:r>
        <w:t xml:space="preserve">0.90 kg CO2e/unit</w:t>
      </w:r>
    </w:p>
    <w:bookmarkEnd w:id="35"/>
    <w:bookmarkStart w:id="38" w:name="scope-3-emissions-value-chain-emissions"/>
    <w:p>
      <w:pPr>
        <w:pStyle w:val="Heading3"/>
      </w:pPr>
      <w:r>
        <w:t xml:space="preserve">4.3. Scope 3 Emissions (Value Chain Emissions)</w:t>
      </w:r>
    </w:p>
    <w:p>
      <w:pPr>
        <w:pStyle w:val="FirstParagraph"/>
      </w:pPr>
      <w:r>
        <w:t xml:space="preserve">Scope 3 emissions represent the largest portion of the PCF and encompass all indirect emissions in the value chain, ensuring comprehensive coverage (&gt;95% targeted).</w:t>
      </w:r>
    </w:p>
    <w:bookmarkStart w:id="36" w:name="upstream-emissions-categories-1-8"/>
    <w:p>
      <w:pPr>
        <w:pStyle w:val="Heading4"/>
      </w:pPr>
      <w:r>
        <w:t xml:space="preserve">4.3.1. Upstream Emissions (Categories 1-8)</w:t>
      </w:r>
    </w:p>
    <w:p>
      <w:pPr>
        <w:numPr>
          <w:ilvl w:val="0"/>
          <w:numId w:val="1012"/>
        </w:numPr>
        <w:pStyle w:val="Compact"/>
      </w:pPr>
      <w:r>
        <w:rPr>
          <w:bCs/>
          <w:b/>
        </w:rPr>
        <w:t xml:space="preserve">Category 1: Purchased Goods and Services (Materials):</w:t>
      </w:r>
      <w:r>
        <w:t xml:space="preserve"> </w:t>
      </w:r>
      <w:r>
        <w:t xml:space="preserve">Based on the Detailed BOM.</w:t>
      </w:r>
    </w:p>
    <w:p>
      <w:pPr>
        <w:numPr>
          <w:ilvl w:val="1"/>
          <w:numId w:val="1013"/>
        </w:numPr>
        <w:pStyle w:val="Compact"/>
      </w:pPr>
      <w:r>
        <w:t xml:space="preserve">Aluminum Alloy: 0.8 kg * 7.5 kg CO2e/kg = 6.00 kg CO2e</w:t>
      </w:r>
    </w:p>
    <w:p>
      <w:pPr>
        <w:numPr>
          <w:ilvl w:val="1"/>
          <w:numId w:val="1013"/>
        </w:numPr>
        <w:pStyle w:val="Compact"/>
      </w:pPr>
      <w:r>
        <w:t xml:space="preserve">ABS Plastic: 0.3 kg * 3.2 kg CO2e/kg = 0.96 kg CO2e</w:t>
      </w:r>
    </w:p>
    <w:p>
      <w:pPr>
        <w:numPr>
          <w:ilvl w:val="1"/>
          <w:numId w:val="1013"/>
        </w:numPr>
        <w:pStyle w:val="Compact"/>
      </w:pPr>
      <w:r>
        <w:t xml:space="preserve">Silicon Wafer: 0.05 kg * 120.0 kg CO2e/kg = 6.00 kg CO2e</w:t>
      </w:r>
    </w:p>
    <w:p>
      <w:pPr>
        <w:numPr>
          <w:ilvl w:val="1"/>
          <w:numId w:val="1013"/>
        </w:numPr>
        <w:pStyle w:val="Compact"/>
      </w:pPr>
      <w:r>
        <w:t xml:space="preserve">Copper Wire: 0.1 kg * 4.0 kg CO2e/kg = 0.40 kg CO2e</w:t>
      </w:r>
    </w:p>
    <w:p>
      <w:pPr>
        <w:numPr>
          <w:ilvl w:val="1"/>
          <w:numId w:val="1013"/>
        </w:numPr>
        <w:pStyle w:val="Compact"/>
      </w:pPr>
      <w:r>
        <w:t xml:space="preserve">Printed Circuit Board: 1.0 unit * 1.5 kg CO2e/unit = 1.50 kg CO2e</w:t>
      </w:r>
    </w:p>
    <w:p>
      <w:pPr>
        <w:numPr>
          <w:ilvl w:val="1"/>
          <w:numId w:val="1013"/>
        </w:numPr>
        <w:pStyle w:val="Compact"/>
      </w:pPr>
      <w:r>
        <w:t xml:space="preserve">Packaging (Cardboard): 0.2 kg * 0.5 kg CO2e/kg = 0.10 kg CO2e</w:t>
      </w:r>
    </w:p>
    <w:p>
      <w:pPr>
        <w:numPr>
          <w:ilvl w:val="1"/>
          <w:numId w:val="1013"/>
        </w:numPr>
        <w:pStyle w:val="Compact"/>
      </w:pPr>
      <w:r>
        <w:t xml:space="preserve">Lithium-ion Battery: 0.15 kg * 20.0 kg CO2e/kg = 3.00 kg CO2e</w:t>
      </w:r>
    </w:p>
    <w:p>
      <w:pPr>
        <w:numPr>
          <w:ilvl w:val="1"/>
          <w:numId w:val="1013"/>
        </w:numPr>
        <w:pStyle w:val="Compact"/>
      </w:pPr>
      <w:r>
        <w:rPr>
          <w:bCs/>
          <w:b/>
        </w:rPr>
        <w:t xml:space="preserve">Subtotal Materials: 17.96 kg CO2e</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Product Weight: ~1.75 kg</w:t>
      </w:r>
    </w:p>
    <w:p>
      <w:pPr>
        <w:numPr>
          <w:ilvl w:val="1"/>
          <w:numId w:val="1014"/>
        </w:numPr>
        <w:pStyle w:val="Compact"/>
      </w:pPr>
      <w:r>
        <w:t xml:space="preserve">Sea Freight (1500 km): 1.75 kg * 1500 km * 0.01 kg CO2e/tkm / 1000 kg/t = 0.026 kg CO2e (Note: ton-km calculation for accuracy)</w:t>
      </w:r>
    </w:p>
    <w:p>
      <w:pPr>
        <w:numPr>
          <w:ilvl w:val="1"/>
          <w:numId w:val="1014"/>
        </w:numPr>
        <w:pStyle w:val="Compact"/>
      </w:pPr>
      <w:r>
        <w:t xml:space="preserve">Road Freight (300 km): 1.75 kg * 300 km * 0.09 kg CO2e/tkm / 1000 kg/t = 0.047 kg CO2e</w:t>
      </w:r>
    </w:p>
    <w:p>
      <w:pPr>
        <w:numPr>
          <w:ilvl w:val="1"/>
          <w:numId w:val="1014"/>
        </w:numPr>
        <w:pStyle w:val="Compact"/>
      </w:pPr>
      <w:r>
        <w:rPr>
          <w:bCs/>
          <w:b/>
        </w:rPr>
        <w:t xml:space="preserve">Subtotal Upstream Transport: 0.073 kg CO2e</w:t>
      </w:r>
    </w:p>
    <w:p>
      <w:pPr>
        <w:numPr>
          <w:ilvl w:val="0"/>
          <w:numId w:val="1012"/>
        </w:numPr>
        <w:pStyle w:val="Compact"/>
      </w:pPr>
      <w:r>
        <w:t xml:space="preserve">Other upstream categories (e.g., capital goods, fuel and energy related activities not in Scope 1/2) are considered less significant for this product and are estimated as a small percentage of material impacts for comprehensive coverage.</w:t>
      </w:r>
    </w:p>
    <w:p>
      <w:pPr>
        <w:pStyle w:val="FirstParagraph"/>
      </w:pPr>
      <w:r>
        <w:rPr>
          <w:bCs/>
          <w:b/>
        </w:rPr>
        <w:t xml:space="preserve">Estimated Upstream Scope 3 Emissions:</w:t>
      </w:r>
      <w:r>
        <w:t xml:space="preserve"> </w:t>
      </w:r>
      <w:r>
        <w:t xml:space="preserve">17.96 kg CO2e (materials) + 0.073 kg CO2e (transport) = 18.033 kg CO2e</w:t>
      </w:r>
    </w:p>
    <w:bookmarkEnd w:id="36"/>
    <w:bookmarkStart w:id="37" w:name="downstream-emissions-categories-9-12"/>
    <w:p>
      <w:pPr>
        <w:pStyle w:val="Heading4"/>
      </w:pPr>
      <w:r>
        <w:t xml:space="preserve">4.3.2. Downstream Emissions (Categories 9-12)</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1.75 kg * 50 km * 0.3 kg CO2e/tkm / 1000 kg/t = 0.026 kg CO2e</w:t>
      </w:r>
    </w:p>
    <w:p>
      <w:pPr>
        <w:numPr>
          <w:ilvl w:val="1"/>
          <w:numId w:val="1016"/>
        </w:numPr>
        <w:pStyle w:val="Compact"/>
      </w:pPr>
      <w:r>
        <w:rPr>
          <w:bCs/>
          <w:b/>
        </w:rPr>
        <w:t xml:space="preserve">Subtotal Last-Mile: 0.026 kg CO2e</w:t>
      </w:r>
    </w:p>
    <w:p>
      <w:pPr>
        <w:numPr>
          <w:ilvl w:val="0"/>
          <w:numId w:val="1015"/>
        </w:numPr>
        <w:pStyle w:val="Compact"/>
      </w:pPr>
      <w:r>
        <w:rPr>
          <w:bCs/>
          <w:b/>
        </w:rPr>
        <w:t xml:space="preserve">Category 11: Use of Sold Products:</w:t>
      </w:r>
    </w:p>
    <w:p>
      <w:pPr>
        <w:numPr>
          <w:ilvl w:val="1"/>
          <w:numId w:val="1017"/>
        </w:numPr>
        <w:pStyle w:val="Compact"/>
      </w:pPr>
      <w:r>
        <w:t xml:space="preserve">Lifespan: 5 years</w:t>
      </w:r>
    </w:p>
    <w:p>
      <w:pPr>
        <w:numPr>
          <w:ilvl w:val="1"/>
          <w:numId w:val="1017"/>
        </w:numPr>
        <w:pStyle w:val="Compact"/>
      </w:pPr>
      <w:r>
        <w:t xml:space="preserve">Energy Consumption: 20 kWh/year</w:t>
      </w:r>
    </w:p>
    <w:p>
      <w:pPr>
        <w:numPr>
          <w:ilvl w:val="1"/>
          <w:numId w:val="1017"/>
        </w:numPr>
        <w:pStyle w:val="Compact"/>
      </w:pPr>
      <w:r>
        <w:t xml:space="preserve">Total Use Phase Energy: 20 kWh/year * 5 years = 100 kWh</w:t>
      </w:r>
    </w:p>
    <w:p>
      <w:pPr>
        <w:numPr>
          <w:ilvl w:val="1"/>
          <w:numId w:val="1017"/>
        </w:numPr>
        <w:pStyle w:val="Compact"/>
      </w:pPr>
      <w:r>
        <w:t xml:space="preserve">Global Grid Emission Factor: 0.475 kg CO2e/kWh</w:t>
      </w:r>
    </w:p>
    <w:p>
      <w:pPr>
        <w:numPr>
          <w:ilvl w:val="1"/>
          <w:numId w:val="1017"/>
        </w:numPr>
        <w:pStyle w:val="Compact"/>
      </w:pPr>
      <w:r>
        <w:rPr>
          <w:bCs/>
          <w:b/>
        </w:rPr>
        <w:t xml:space="preserve">Calculation:</w:t>
      </w:r>
      <w:r>
        <w:t xml:space="preserve"> </w:t>
      </w:r>
      <w:r>
        <w:t xml:space="preserve">100 kWh * 0.475 kg CO2e/kWh = 47.50 kg CO2e</w:t>
      </w:r>
    </w:p>
    <w:p>
      <w:pPr>
        <w:numPr>
          <w:ilvl w:val="0"/>
          <w:numId w:val="1015"/>
        </w:numPr>
        <w:pStyle w:val="Compact"/>
      </w:pPr>
      <w:r>
        <w:rPr>
          <w:bCs/>
          <w:b/>
        </w:rPr>
        <w:t xml:space="preserve">Category 12: End-of-Life Treatment of Sold Products:</w:t>
      </w:r>
    </w:p>
    <w:p>
      <w:pPr>
        <w:numPr>
          <w:ilvl w:val="1"/>
          <w:numId w:val="1018"/>
        </w:numPr>
        <w:pStyle w:val="Compact"/>
      </w:pPr>
      <w:r>
        <w:t xml:space="preserve">Product Weight: 1.75 kg</w:t>
      </w:r>
    </w:p>
    <w:p>
      <w:pPr>
        <w:numPr>
          <w:ilvl w:val="1"/>
          <w:numId w:val="1018"/>
        </w:numPr>
        <w:pStyle w:val="Compact"/>
      </w:pPr>
      <w:r>
        <w:t xml:space="preserve">Recyclability: 80%</w:t>
      </w:r>
    </w:p>
    <w:p>
      <w:pPr>
        <w:numPr>
          <w:ilvl w:val="1"/>
          <w:numId w:val="1018"/>
        </w:numPr>
        <w:pStyle w:val="Compact"/>
      </w:pPr>
      <w:r>
        <w:t xml:space="preserve">Disposal: 20% (1.75 kg * 0.2 = 0.35 kg)</w:t>
      </w:r>
    </w:p>
    <w:p>
      <w:pPr>
        <w:numPr>
          <w:ilvl w:val="1"/>
          <w:numId w:val="1018"/>
        </w:numPr>
        <w:pStyle w:val="Compact"/>
      </w:pPr>
      <w:r>
        <w:t xml:space="preserve">Assuming landfill EF of 0.5 kg CO2e/kg for mixed waste: 0.35 kg * 0.5 kg CO2e/kg = 0.175 kg CO2e</w:t>
      </w:r>
    </w:p>
    <w:p>
      <w:pPr>
        <w:numPr>
          <w:ilvl w:val="1"/>
          <w:numId w:val="1018"/>
        </w:numPr>
        <w:pStyle w:val="Compact"/>
      </w:pPr>
      <w:r>
        <w:t xml:space="preserve">Recycling Benefits: For the 80% recycled portion, credits for avoided virgin material production are applied. This is often complex, but for simplicity, we assume an avoidance factor (e.g., -0.5 kg CO2e/kg for metals, -0.3 kg CO2e/kg for plastics). For an average 1.4 kg recycled, a conservative net credit of -1.0 kg CO2e is estimated.</w:t>
      </w:r>
    </w:p>
    <w:p>
      <w:pPr>
        <w:numPr>
          <w:ilvl w:val="1"/>
          <w:numId w:val="1018"/>
        </w:numPr>
        <w:pStyle w:val="Compact"/>
      </w:pPr>
      <w:r>
        <w:rPr>
          <w:bCs/>
          <w:b/>
        </w:rPr>
        <w:t xml:space="preserve">Subtotal EoL: -0.825 kg CO2e (0.175 kg CO2e from disposal - 1.0 kg CO2e from recycling credits)</w:t>
      </w:r>
    </w:p>
    <w:p>
      <w:pPr>
        <w:pStyle w:val="FirstParagraph"/>
      </w:pPr>
      <w:r>
        <w:rPr>
          <w:bCs/>
          <w:b/>
        </w:rPr>
        <w:t xml:space="preserve">Estimated Downstream Scope 3 Emissions:</w:t>
      </w:r>
      <w:r>
        <w:t xml:space="preserve"> </w:t>
      </w:r>
      <w:r>
        <w:t xml:space="preserve">0.026 kg CO2e (transport) + 47.50 kg CO2e (use phase) - 0.825 kg CO2e (EoL) = 46.701 kg CO2e</w:t>
      </w:r>
    </w:p>
    <w:bookmarkEnd w:id="37"/>
    <w:bookmarkEnd w:id="38"/>
    <w:bookmarkStart w:id="39" w:name="X96e4ca11d876b430114a48bb2e633f4013896b5"/>
    <w:p>
      <w:pPr>
        <w:pStyle w:val="Heading3"/>
      </w:pPr>
      <w:r>
        <w:t xml:space="preserve">4.4. Application of the 2026 Land Sector and Removals (LSR) Standard</w:t>
      </w:r>
    </w:p>
    <w:p>
      <w:pPr>
        <w:pStyle w:val="FirstParagraph"/>
      </w:pPr>
      <w:r>
        <w:t xml:space="preserve">The 2026 LSR Standard is applied to account for greenhouse gas fluxes from land use and land-use change, and carbon removals. For a manufactured product like uitiftdfrv, direct land-use change impacts are typically embedded within the upstream material emission factors (e.g., for wood products or bio-based plastics). Given the bill of materials, the primary materials (metals, plastics, silicon) do not have significant direct land-use change emissions or removals within their immediate production processes that aren\'t already captured in their conventional emission factors. However, any minor agricultural inputs for specific chemicals or packaging would be reviewed for LSR compliance, ensuring transparent reporting of removals if applicable. At this level of analysis, significant land-based removals or emissions beyond the standard material EFs are not identified.</w:t>
      </w:r>
    </w:p>
    <w:p>
      <w:pPr>
        <w:pStyle w:val="BodyText"/>
      </w:pPr>
      <w:r>
        <w:rPr>
          <w:bCs/>
          <w:b/>
        </w:rPr>
        <w:t xml:space="preserve">Estimated LSR Impact:</w:t>
      </w:r>
      <w:r>
        <w:t xml:space="preserve"> </w:t>
      </w:r>
      <w:r>
        <w:t xml:space="preserve">Negligible direct impact identified, implicitly covered in material EFs.</w:t>
      </w:r>
    </w:p>
    <w:bookmarkEnd w:id="39"/>
    <w:bookmarkStart w:id="40"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Estimated CO2e (kg per 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0.05</w:t>
            </w:r>
          </w:p>
        </w:tc>
      </w:tr>
      <w:tr>
        <w:tc>
          <w:tcPr/>
          <w:p>
            <w:pPr>
              <w:pStyle w:val="Compact"/>
              <w:jc w:val="left"/>
            </w:pPr>
            <w:r>
              <w:rPr>
                <w:bCs/>
                <w:b/>
              </w:rPr>
              <w:t xml:space="preserve">Scope 2</w:t>
            </w:r>
          </w:p>
        </w:tc>
        <w:tc>
          <w:tcPr/>
          <w:p>
            <w:pPr>
              <w:pStyle w:val="Compact"/>
              <w:jc w:val="left"/>
            </w:pPr>
            <w:r>
              <w:t xml:space="preserve">Purchased Electricity (China)</w:t>
            </w:r>
          </w:p>
        </w:tc>
        <w:tc>
          <w:tcPr/>
          <w:p>
            <w:pPr>
              <w:pStyle w:val="Compact"/>
              <w:jc w:val="left"/>
            </w:pPr>
            <w:r>
              <w:t xml:space="preserve">0.90</w:t>
            </w:r>
          </w:p>
        </w:tc>
      </w:tr>
      <w:tr>
        <w:tc>
          <w:tcPr/>
          <w:p>
            <w:pPr>
              <w:pStyle w:val="Compact"/>
              <w:jc w:val="left"/>
            </w:pPr>
            <w:r>
              <w:rPr>
                <w:bCs/>
                <w:b/>
              </w:rPr>
              <w:t xml:space="preserve">Scope 3</w:t>
            </w:r>
          </w:p>
        </w:tc>
        <w:tc>
          <w:tcPr/>
          <w:p>
            <w:pPr>
              <w:pStyle w:val="Compact"/>
              <w:jc w:val="left"/>
            </w:pPr>
            <w:r>
              <w:t xml:space="preserve">Upstream (Materials, Transport)</w:t>
            </w:r>
          </w:p>
        </w:tc>
        <w:tc>
          <w:tcPr/>
          <w:p>
            <w:pPr>
              <w:pStyle w:val="Compact"/>
              <w:jc w:val="left"/>
            </w:pPr>
            <w:r>
              <w:t xml:space="preserve">18.03</w:t>
            </w:r>
          </w:p>
        </w:tc>
      </w:tr>
      <w:tr>
        <w:tc>
          <w:tcPr/>
          <w:p>
            <w:pPr>
              <w:pStyle w:val="Compact"/>
            </w:pPr>
          </w:p>
        </w:tc>
        <w:tc>
          <w:tcPr/>
          <w:p>
            <w:pPr>
              <w:pStyle w:val="Compact"/>
              <w:jc w:val="left"/>
            </w:pPr>
            <w:r>
              <w:t xml:space="preserve">Downstream (Transport, Use Phase, EoL)</w:t>
            </w:r>
          </w:p>
        </w:tc>
        <w:tc>
          <w:tcPr/>
          <w:p>
            <w:pPr>
              <w:pStyle w:val="Compact"/>
              <w:jc w:val="left"/>
            </w:pPr>
            <w:r>
              <w:t xml:space="preserve">46.70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65.68 kg CO2e/unit</w:t>
            </w:r>
          </w:p>
        </w:tc>
      </w:tr>
    </w:tbl>
    <w:p>
      <w:pPr>
        <w:pStyle w:val="BodyText"/>
      </w:pPr>
      <w:r>
        <w:rPr>
          <w:bCs/>
          <w:b/>
        </w:rPr>
        <w:t xml:space="preserve">Total Product Carbon Footprint (PCF) for uitiftdfrv: 65.68 kg CO2e/unit</w:t>
      </w:r>
    </w:p>
    <w:p>
      <w:r>
        <w:pict>
          <v:rect style="width:0;height:1.5pt" o:hralign="center" o:hrstd="t" o:hr="t"/>
        </w:pict>
      </w:r>
    </w:p>
    <w:bookmarkEnd w:id="40"/>
    <w:bookmarkEnd w:id="41"/>
    <w:bookmarkStart w:id="47"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detailed PCF analysis for uitiftdfrv reveals the following emission hotspots:</w:t>
      </w:r>
    </w:p>
    <w:p>
      <w:pPr>
        <w:numPr>
          <w:ilvl w:val="0"/>
          <w:numId w:val="1019"/>
        </w:numPr>
        <w:pStyle w:val="Compact"/>
      </w:pPr>
      <w:r>
        <w:rPr>
          <w:bCs/>
          <w:b/>
        </w:rPr>
        <w:t xml:space="preserve">Use Phase (47.50 kg CO2e):</w:t>
      </w:r>
      <w:r>
        <w:t xml:space="preserve"> </w:t>
      </w:r>
      <w:r>
        <w:t xml:space="preserve">This is the most significant hotspot, accounting for approximately 72% of the total PCF. The energy consumption of uitiftdfrv over its 5-year lifespan, powered by the global average grid mix, dominates the footprint.</w:t>
      </w:r>
    </w:p>
    <w:p>
      <w:pPr>
        <w:numPr>
          <w:ilvl w:val="0"/>
          <w:numId w:val="1019"/>
        </w:numPr>
        <w:pStyle w:val="Compact"/>
      </w:pPr>
      <w:r>
        <w:rPr>
          <w:bCs/>
          <w:b/>
        </w:rPr>
        <w:t xml:space="preserve">Materials (17.96 kg CO2e):</w:t>
      </w:r>
      <w:r>
        <w:t xml:space="preserve"> </w:t>
      </w:r>
      <w:r>
        <w:t xml:space="preserve">The upstream production of raw materials, particularly Silicon Wafer (6.00 kg CO2e), Aluminum Alloy (6.00 kg CO2e), and Lithium-ion Battery (3.00 kg CO2e), collectively constitutes a major impact, approximately 27% of the total.</w:t>
      </w:r>
    </w:p>
    <w:p>
      <w:pPr>
        <w:numPr>
          <w:ilvl w:val="0"/>
          <w:numId w:val="1019"/>
        </w:numPr>
        <w:pStyle w:val="Compact"/>
      </w:pPr>
      <w:r>
        <w:rPr>
          <w:bCs/>
          <w:b/>
        </w:rPr>
        <w:t xml:space="preserve">Production Energy (0.90 kg CO2e):</w:t>
      </w:r>
      <w:r>
        <w:t xml:space="preserve"> </w:t>
      </w:r>
      <w:r>
        <w:t xml:space="preserve">While significant, the impact of purchased electricity during production is mitigated by the 70% renewable energy usage. Without this, it would be a much larger hotspot.</w:t>
      </w:r>
    </w:p>
    <w:p>
      <w:pPr>
        <w:numPr>
          <w:ilvl w:val="0"/>
          <w:numId w:val="1019"/>
        </w:numPr>
        <w:pStyle w:val="Compact"/>
      </w:pPr>
      <w:r>
        <w:rPr>
          <w:bCs/>
          <w:b/>
        </w:rPr>
        <w:t xml:space="preserve">Transport (0.073 kg CO2e upstream + 0.026 kg CO2e downstream):</w:t>
      </w:r>
      <w:r>
        <w:t xml:space="preserve"> </w:t>
      </w:r>
      <w:r>
        <w:t xml:space="preserve">Transport plays a relatively minor role in the overall footprint, especially sea freight. Road transport has a higher intensity but often covers shorter distances.</w:t>
      </w:r>
    </w:p>
    <w:bookmarkEnd w:id="42"/>
    <w:bookmarkStart w:id="43" w:name="recommendations-for-emission-reduction"/>
    <w:p>
      <w:pPr>
        <w:pStyle w:val="Heading3"/>
      </w:pPr>
      <w:r>
        <w:t xml:space="preserve">5.2. Recommendations for Emission Reduction</w:t>
      </w:r>
    </w:p>
    <w:p>
      <w:pPr>
        <w:pStyle w:val="FirstParagraph"/>
      </w:pPr>
      <w:r>
        <w:t xml:space="preserve">Based on the identified hotspots, xlxhpgkudp should focus on the following strategies to reduce the PCF of uitiftdfrv:</w:t>
      </w:r>
    </w:p>
    <w:p>
      <w:pPr>
        <w:numPr>
          <w:ilvl w:val="0"/>
          <w:numId w:val="1020"/>
        </w:numPr>
        <w:pStyle w:val="Compact"/>
      </w:pPr>
      <w:r>
        <w:rPr>
          <w:bCs/>
          <w:b/>
        </w:rPr>
        <w:t xml:space="preserve">Optimize Use Phase Energy Efficiency:</w:t>
      </w:r>
    </w:p>
    <w:p>
      <w:pPr>
        <w:numPr>
          <w:ilvl w:val="1"/>
          <w:numId w:val="1021"/>
        </w:numPr>
        <w:pStyle w:val="Compact"/>
      </w:pPr>
      <w:r>
        <w:t xml:space="preserve">Redesign uitiftdfrv for significantly lower energy consumption during operation.</w:t>
      </w:r>
    </w:p>
    <w:p>
      <w:pPr>
        <w:numPr>
          <w:ilvl w:val="1"/>
          <w:numId w:val="1021"/>
        </w:numPr>
        <w:pStyle w:val="Compact"/>
      </w:pPr>
      <w:r>
        <w:t xml:space="preserve">Explore options for including renewable energy charging solutions or encouraging users to use renewable energy for charging/powering the product.</w:t>
      </w:r>
    </w:p>
    <w:p>
      <w:pPr>
        <w:numPr>
          <w:ilvl w:val="1"/>
          <w:numId w:val="1021"/>
        </w:numPr>
        <w:pStyle w:val="Compact"/>
      </w:pPr>
      <w:r>
        <w:t xml:space="preserve">Provide clear information to consumers on energy-efficient usage patterns.</w:t>
      </w:r>
    </w:p>
    <w:p>
      <w:pPr>
        <w:numPr>
          <w:ilvl w:val="0"/>
          <w:numId w:val="1020"/>
        </w:numPr>
        <w:pStyle w:val="Compact"/>
      </w:pPr>
      <w:r>
        <w:rPr>
          <w:bCs/>
          <w:b/>
        </w:rPr>
        <w:t xml:space="preserve">Material Optimization and Sourcing:</w:t>
      </w:r>
    </w:p>
    <w:p>
      <w:pPr>
        <w:numPr>
          <w:ilvl w:val="1"/>
          <w:numId w:val="1022"/>
        </w:numPr>
        <w:pStyle w:val="Compact"/>
      </w:pPr>
      <w:r>
        <w:t xml:space="preserve">Investigate alternative materials with lower embodied carbon for components like silicon, aluminum, and batteries.</w:t>
      </w:r>
    </w:p>
    <w:p>
      <w:pPr>
        <w:numPr>
          <w:ilvl w:val="1"/>
          <w:numId w:val="1022"/>
        </w:numPr>
        <w:pStyle w:val="Compact"/>
      </w:pPr>
      <w:r>
        <w:t xml:space="preserve">Increase the use of recycled content in components where technically feasible and maintain product quality.</w:t>
      </w:r>
    </w:p>
    <w:p>
      <w:pPr>
        <w:numPr>
          <w:ilvl w:val="1"/>
          <w:numId w:val="1022"/>
        </w:numPr>
        <w:pStyle w:val="Compact"/>
      </w:pPr>
      <w:r>
        <w:t xml:space="preserve">Engage with suppliers to encourage their transition to renewable energy in their production processes.</w:t>
      </w:r>
    </w:p>
    <w:p>
      <w:pPr>
        <w:numPr>
          <w:ilvl w:val="0"/>
          <w:numId w:val="1020"/>
        </w:numPr>
        <w:pStyle w:val="Compact"/>
      </w:pPr>
      <w:r>
        <w:rPr>
          <w:bCs/>
          <w:b/>
        </w:rPr>
        <w:t xml:space="preserve">Enhance Circularity and End-of-Life Management:</w:t>
      </w:r>
    </w:p>
    <w:p>
      <w:pPr>
        <w:numPr>
          <w:ilvl w:val="1"/>
          <w:numId w:val="1023"/>
        </w:numPr>
        <w:pStyle w:val="Compact"/>
      </w:pPr>
      <w:r>
        <w:t xml:space="preserve">Further develop and promote the company-operated take-back and refurbishment program to extend product lifespans and retain material value.</w:t>
      </w:r>
    </w:p>
    <w:p>
      <w:pPr>
        <w:numPr>
          <w:ilvl w:val="1"/>
          <w:numId w:val="1023"/>
        </w:numPr>
        <w:pStyle w:val="Compact"/>
      </w:pPr>
      <w:r>
        <w:t xml:space="preserve">Explore design for disassembly and repair to facilitate higher rates of recycling and component reuse.</w:t>
      </w:r>
    </w:p>
    <w:p>
      <w:pPr>
        <w:numPr>
          <w:ilvl w:val="1"/>
          <w:numId w:val="1023"/>
        </w:numPr>
        <w:pStyle w:val="Compact"/>
      </w:pPr>
      <w:r>
        <w:t xml:space="preserve">Investigate technologies to improve the recycling efficiency of complex components like lithium-ion batteries.</w:t>
      </w:r>
    </w:p>
    <w:p>
      <w:pPr>
        <w:numPr>
          <w:ilvl w:val="0"/>
          <w:numId w:val="1020"/>
        </w:numPr>
        <w:pStyle w:val="Compact"/>
      </w:pPr>
      <w:r>
        <w:rPr>
          <w:bCs/>
          <w:b/>
        </w:rPr>
        <w:t xml:space="preserve">Continue Renewable Energy Investment in Production:</w:t>
      </w:r>
    </w:p>
    <w:p>
      <w:pPr>
        <w:numPr>
          <w:ilvl w:val="1"/>
          <w:numId w:val="1024"/>
        </w:numPr>
        <w:pStyle w:val="Compact"/>
      </w:pPr>
      <w:r>
        <w:t xml:space="preserve">Maintain or increase the target for renewable energy usage in manufacturing facilities, ideally aiming for 100%.</w:t>
      </w:r>
    </w:p>
    <w:bookmarkEnd w:id="43"/>
    <w:bookmarkStart w:id="46" w:name="reliability-and-limitations"/>
    <w:p>
      <w:pPr>
        <w:pStyle w:val="Heading3"/>
      </w:pPr>
      <w:r>
        <w:t xml:space="preserve">5.3. Reliability and Limitations</w:t>
      </w:r>
    </w:p>
    <w:p>
      <w:pPr>
        <w:pStyle w:val="FirstParagraph"/>
      </w:pPr>
      <w:r>
        <w:t xml:space="preserve">The reliability of this PCF report is considered high due to the use of detailed primary data (BOM, specific energy, transport, lifespan, EoL parameters). However, inherent limitations include:</w:t>
      </w:r>
    </w:p>
    <w:p>
      <w:pPr>
        <w:numPr>
          <w:ilvl w:val="0"/>
          <w:numId w:val="1025"/>
        </w:numPr>
        <w:pStyle w:val="Compact"/>
      </w:pPr>
      <w:r>
        <w:rPr>
          <w:bCs/>
          <w:b/>
        </w:rPr>
        <w:t xml:space="preserve">Secondary Data Reliance:</w:t>
      </w:r>
      <w:r>
        <w:t xml:space="preserve"> </w:t>
      </w:r>
      <w:r>
        <w:t xml:space="preserve">While detailed, emission factors for many upstream processes (e.g., raw material production, component manufacturing) are derived from industry average databases (e.g., Ecoinvent, DEFRA, IEA for grid mixes). Specific supplier data could further refine these values.</w:t>
      </w:r>
    </w:p>
    <w:p>
      <w:pPr>
        <w:numPr>
          <w:ilvl w:val="0"/>
          <w:numId w:val="1025"/>
        </w:numPr>
        <w:pStyle w:val="Compact"/>
      </w:pPr>
      <w:r>
        <w:rPr>
          <w:bCs/>
          <w:b/>
        </w:rPr>
        <w:t xml:space="preserve">Assumptions:</w:t>
      </w:r>
      <w:r>
        <w:t xml:space="preserve"> </w:t>
      </w:r>
      <w:r>
        <w:t xml:space="preserve">Assumptions were made for transport distances, last-mile delivery, and generalized end-of-life impacts (e.g., recycling credits, disposal emission factors) where specific real-world data was not provided.</w:t>
      </w:r>
    </w:p>
    <w:p>
      <w:pPr>
        <w:numPr>
          <w:ilvl w:val="0"/>
          <w:numId w:val="1025"/>
        </w:numPr>
        <w:pStyle w:val="Compact"/>
      </w:pPr>
      <w:r>
        <w:rPr>
          <w:bCs/>
          <w:b/>
        </w:rPr>
        <w:t xml:space="preserve">Dynamic Nature:</w:t>
      </w:r>
      <w:r>
        <w:t xml:space="preserve"> </w:t>
      </w:r>
      <w:r>
        <w:t xml:space="preserve">Emission factors and energy grid mixes are dynamic. This report reflects current best available data and industry standards for 2026.</w:t>
      </w:r>
    </w:p>
    <w:p>
      <w:pPr>
        <w:numPr>
          <w:ilvl w:val="0"/>
          <w:numId w:val="1025"/>
        </w:numPr>
        <w:pStyle w:val="Compact"/>
      </w:pPr>
      <w:r>
        <w:rPr>
          <w:bCs/>
          <w:b/>
        </w:rPr>
        <w:t xml:space="preserve">LSR Standard:</w:t>
      </w:r>
      <w:r>
        <w:t xml:space="preserve"> </w:t>
      </w:r>
      <w:r>
        <w:t xml:space="preserve">While applied, the direct quantification of land-use change for non-bio-based materials remains an area of evolving methodology.</w:t>
      </w:r>
    </w:p>
    <w:p>
      <w:pPr>
        <w:pStyle w:val="FirstParagraph"/>
      </w:pPr>
      <w:r>
        <w:t xml:space="preserve">Overall, this report provides a robust baseline for understanding the environmental impact of uitiftdfrv and serves as a critical tool for xlxhpgkudp\'s sustainability strategy.</w:t>
      </w:r>
    </w:p>
    <w:p>
      <w:r>
        <w:pict>
          <v:rect style="width:0;height:1.5pt" o:hralign="center" o:hrstd="t" o:hr="t"/>
        </w:pict>
      </w:r>
    </w:p>
    <w:p>
      <w:pPr>
        <w:pStyle w:val="FirstParagraph"/>
      </w:pPr>
      <w:r>
        <w:t xml:space="preserve">Confidential - Internal Use Only | Page</w:t>
      </w:r>
      <w:r>
        <w:t xml:space="preserve"> </w:t>
      </w:r>
      <w:bookmarkStart w:id="44" w:name="page-num"/>
      <w:r>
        <w:t xml:space="preserve">1</w:t>
      </w:r>
      <w:bookmarkEnd w:id="44"/>
      <w:r>
        <w:t xml:space="preserve"> </w:t>
      </w:r>
      <w:r>
        <w:t xml:space="preserve">of</w:t>
      </w:r>
      <w:r>
        <w:t xml:space="preserve"> </w:t>
      </w:r>
      <w:bookmarkStart w:id="45" w:name="total-pages"/>
      <w:r>
        <w:t xml:space="preserve">1</w:t>
      </w:r>
      <w:bookmarkEnd w:id="45"/>
    </w:p>
    <w:p>
      <w:pPr>
        <w:pStyle w:val="BodyText"/>
      </w:pPr>
      <w:r>
        <w:t xml:space="preserve">print(google_search.search(queries=["China grid electricity emission factor kg CO2e/kWh", "global average grid electricity emission factor kg CO2e/kWh", "emission factor road freight HGV kg CO2e/tkm", "emission factor sea freight kg CO2e/tkm", "emission factor parcel delivery van kg CO2e/tkm", "emission factor landfill mixed waste kg CO2e/kg"]))</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uitiftdfrv</dc:title>
  <dc:creator/>
  <dc:description>Detailed Product Carbon Footprint (PCF) analysis report for product uitiftdfrv by xlxhpgkudp, adhering to GHG Protocol standards and 2026 LSR updates, prepared by Senior Sustainability Consultant ifhiwlvzno.</dc:description>
  <dc:language>en</dc:language>
  <cp:keywords/>
  <dcterms:created xsi:type="dcterms:W3CDTF">2026-05-30T19:18:40Z</dcterms:created>
  <dcterms:modified xsi:type="dcterms:W3CDTF">2026-05-30T19:18:40Z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