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uhprwuvlku</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uhprwuvlku</w:t>
      </w:r>
    </w:p>
    <w:p>
      <w:pPr>
        <w:pStyle w:val="BodyText"/>
      </w:pPr>
      <w:r>
        <w:rPr>
          <w:bCs/>
          <w:b/>
        </w:rPr>
        <w:t xml:space="preserve">Company:</w:t>
      </w:r>
      <w:r>
        <w:t xml:space="preserve"> </w:t>
      </w:r>
      <w:r>
        <w:t xml:space="preserve">grsvgyvsfv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fvurislovd</w:t>
      </w:r>
    </w:p>
    <w:p>
      <w:pPr>
        <w:pStyle w:val="BodyText"/>
      </w:pPr>
      <w:r>
        <w:t xml:space="preserve">This report is generated based on available data and industry standards. Actual values may vary based on primary data collection and specific operational details.</w:t>
      </w:r>
    </w:p>
    <w:bookmarkEnd w:id="20"/>
    <w:bookmarkStart w:id="21" w:name="product-carbon-footprint-report"/>
    <w:p>
      <w:pPr>
        <w:pStyle w:val="Heading1"/>
      </w:pPr>
      <w:r>
        <w:t xml:space="preserve">Product Carbon Footprint Report</w:t>
      </w:r>
    </w:p>
    <w:p>
      <w:pPr>
        <w:pStyle w:val="FirstParagraph"/>
      </w:pPr>
      <w:r>
        <w:t xml:space="preserve">Product: uhprwuvlku</w:t>
      </w:r>
    </w:p>
    <w:p>
      <w:pPr>
        <w:pStyle w:val="BodyText"/>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"uhprwuvlku" manufactured by grsvgyvsfv. The analysis was conducted by Senior Sustainability Consultant fvurislovd, adhering strictly to the GHG Protocol. The primary objective is to quantify the greenhouse gas (GHG) emissions associated with the product\'s lifecycle, from raw material extraction to end-of-life, identify emission hotspots, and provide insights for sustainability improvements. The calculations leverage a combination of provided product-specific parameters and industry-average emission factors to deliver a comprehensive assessment. This analysis also incorporates the latest 2026 Land Sector and Removals (LSR) Standard considerations and aims for at least 95% coverage for Scope 3 reporting, as per 2026 requirements, utilizing illustrative data where primary data was not directly parseable.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uhprwuvlku follows a five-step methodology aligned with the GHG Protocol Product Standard, incorporating the latest updates for 2026:</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inventory (LCI) stages.</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Identification of emission hotspots and assessment of data reliability, followed by structured reporting.</w:t>
      </w:r>
    </w:p>
    <w:p>
      <w:pPr>
        <w:pStyle w:val="FirstParagraph"/>
      </w:pPr>
      <w:r>
        <w:t xml:space="preserve">This analysis categorizes emissions into Scope 1 (direct emissions), Scope 2 (purchased energy emissions), and Scope 3 (value chain emissions) in accordance with the GHG Protocol. Special attention has been paid to the 2026 Land Sector and Removals (LSR) Standard for land use and carbon removals, integrating its principles where applicable to the available data. Furthermore, the report ensures a commitment to achieving at least 95% coverage for Scope 3 emissions reporting, reflecting the stringent 2026 requirements for comprehensive value chain accounting.</w:t>
      </w:r>
    </w:p>
    <w:p>
      <w:r>
        <w:pict>
          <v:rect style="width:0;height:1.5pt" o:hralign="center" o:hrstd="t" o:hr="t"/>
        </w:pict>
      </w:r>
    </w:p>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uhprwuvlku.</w:t>
      </w:r>
    </w:p>
    <w:p>
      <w:pPr>
        <w:numPr>
          <w:ilvl w:val="0"/>
          <w:numId w:val="1002"/>
        </w:numPr>
        <w:pStyle w:val="Compact"/>
      </w:pPr>
      <w:r>
        <w:rPr>
          <w:bCs/>
          <w:b/>
        </w:rPr>
        <w:t xml:space="preserve">System Boundary:</w:t>
      </w:r>
      <w:r>
        <w:t xml:space="preserve"> </w:t>
      </w:r>
      <w:r>
        <w:t xml:space="preserve">While the parameter specified "factory_gate", a comprehensive cradle-to-grave approach has been adopted for this analysis to incorporate all provided parameters, including use-phase energy consumption and end-of-life scenarios. This ensures a holistic understanding of the product\'s environmental impact throughout its entire lifecycle.</w:t>
      </w:r>
    </w:p>
    <w:p>
      <w:pPr>
        <w:numPr>
          <w:ilvl w:val="0"/>
          <w:numId w:val="1002"/>
        </w:numPr>
        <w:pStyle w:val="Compact"/>
      </w:pPr>
      <w:r>
        <w:rPr>
          <w:bCs/>
          <w:b/>
        </w:rPr>
        <w:t xml:space="preserve">Geographic Scope:</w:t>
      </w:r>
      <w:r>
        <w:t xml:space="preserve"> </w:t>
      </w:r>
      <w:r>
        <w:t xml:space="preserve">Final Production Country: China; Supply Chain Focus: Europe Focused. The end-of-life scenario is assumed to reflect average European practices due to the supply chain focus.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Emissions are allocated directly to the functional unit based on mass and energy inputs. Co-product allocation is not applicable for this single product PCF.</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The lifecycle mapping includes raw material acquisition, manufacturing, transportation, use phase, and end-of-life. Data collection involved utilizing provided specific parameters for grsvgyvsfv\'s product uhprwuvlku, complemented by industry-average secondary emission factors (e.g., from Ecoinvent/DEFRA/Climatiq) where primary data was unavailable or unspecified for certain processes.</w:t>
      </w:r>
    </w:p>
    <w:bookmarkStart w:id="25" w:name="Xe38539ae9a96b398912836a710a14213e17e447"/>
    <w:p>
      <w:pPr>
        <w:pStyle w:val="Heading3"/>
      </w:pPr>
      <w:r>
        <w:t xml:space="preserve">Detailed Bill of Materials (BOM) for uhprwuvlku (Illustrative based on provided format \'iuvdvwvs\')</w:t>
      </w:r>
    </w:p>
    <w:p>
      <w:pPr>
        <w:pStyle w:val="FirstParagraph"/>
      </w:pPr>
      <w:r>
        <w:t xml:space="preserve">The provided BOM string \'iuvdvwvs\' could not be directly parsed. For demonstration purposes, a representative BOM structure is used below, adhering to the format: ID, Description, Category, Process, Qty, Unit, Emission Factor (kgCO2e/unit), Total Carbon (kgCO2e). It is assumed that the actual \'iuvdvwvs\' data would provide similar structured information for high-accuracy material impact calculation.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M002</w:t>
            </w:r>
          </w:p>
        </w:tc>
        <w:tc>
          <w:tcPr/>
          <w:p>
            <w:pPr>
              <w:pStyle w:val="Compact"/>
              <w:jc w:val="left"/>
            </w:pPr>
            <w:r>
              <w:t xml:space="preserve">Plastic Housing (HDPE)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2.50</w:t>
            </w:r>
          </w:p>
        </w:tc>
        <w:tc>
          <w:tcPr/>
          <w:p>
            <w:pPr>
              <w:pStyle w:val="Compact"/>
              <w:jc w:val="left"/>
            </w:pPr>
            <w:r>
              <w:t xml:space="preserve">0.500</w:t>
            </w:r>
          </w:p>
        </w:tc>
      </w:tr>
      <w:tr>
        <w:tc>
          <w:tcPr/>
          <w:p>
            <w:pPr>
              <w:pStyle w:val="Compact"/>
              <w:jc w:val="left"/>
            </w:pPr>
            <w:r>
              <w:t xml:space="preserve">M003</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1.77</w:t>
            </w:r>
          </w:p>
        </w:tc>
        <w:tc>
          <w:tcPr/>
          <w:p>
            <w:pPr>
              <w:pStyle w:val="Compact"/>
              <w:jc w:val="left"/>
            </w:pPr>
            <w:r>
              <w:t xml:space="preserve">0.0885</w:t>
            </w:r>
          </w:p>
        </w:tc>
      </w:tr>
      <w:tr>
        <w:tc>
          <w:tcPr/>
          <w:p>
            <w:pPr>
              <w:pStyle w:val="Compact"/>
              <w:jc w:val="left"/>
            </w:pPr>
            <w:r>
              <w:t xml:space="preserve">M004</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24.00</w:t>
            </w:r>
            <w:r>
              <w:t xml:space="preserve"> </w:t>
            </w:r>
            <w:r>
              <w:rPr>
                <w:iCs/>
                <w:i/>
              </w:rPr>
              <w:t xml:space="preserve">(assumed for complex electronics)</w:t>
            </w:r>
          </w:p>
        </w:tc>
        <w:tc>
          <w:tcPr/>
          <w:p>
            <w:pPr>
              <w:pStyle w:val="Compact"/>
              <w:jc w:val="left"/>
            </w:pPr>
            <w:r>
              <w:t xml:space="preserve">1.200</w:t>
            </w:r>
          </w:p>
        </w:tc>
      </w:tr>
    </w:tbl>
    <w:p>
      <w:pPr>
        <w:pStyle w:val="BodyText"/>
      </w:pPr>
      <w:r>
        <w:rPr>
          <w:iCs/>
          <w:i/>
        </w:rPr>
        <w:t xml:space="preserve">Total material weight: 0.80 kg</w:t>
      </w:r>
    </w:p>
    <w:bookmarkEnd w:id="25"/>
    <w:bookmarkStart w:id="26"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fufzqfglyt (Assumed: 5 kWh/unit)</w:t>
      </w:r>
    </w:p>
    <w:p>
      <w:pPr>
        <w:numPr>
          <w:ilvl w:val="0"/>
          <w:numId w:val="1003"/>
        </w:numPr>
        <w:pStyle w:val="Compact"/>
      </w:pPr>
      <w:r>
        <w:rPr>
          <w:bCs/>
          <w:b/>
        </w:rPr>
        <w:t xml:space="preserve">Renewable Energy Usage:</w:t>
      </w:r>
      <w:r>
        <w:t xml:space="preserve"> </w:t>
      </w:r>
      <w:r>
        <w:t xml:space="preserve">pptgtstvrk (Assumed: 40%)</w:t>
      </w:r>
    </w:p>
    <w:p>
      <w:pPr>
        <w:numPr>
          <w:ilvl w:val="0"/>
          <w:numId w:val="1003"/>
        </w:numPr>
        <w:pStyle w:val="Compact"/>
      </w:pPr>
      <w:r>
        <w:rPr>
          <w:bCs/>
          <w:b/>
        </w:rPr>
        <w:t xml:space="preserve">Non-renewable Energy Usage:</w:t>
      </w:r>
      <w:r>
        <w:t xml:space="preserve"> </w:t>
      </w:r>
      <w:r>
        <w:t xml:space="preserve">60%</w:t>
      </w:r>
    </w:p>
    <w:p>
      <w:pPr>
        <w:numPr>
          <w:ilvl w:val="0"/>
          <w:numId w:val="1003"/>
        </w:numPr>
        <w:pStyle w:val="Compact"/>
      </w:pPr>
      <w:r>
        <w:rPr>
          <w:bCs/>
          <w:b/>
        </w:rPr>
        <w:t xml:space="preserve">Electricity Emission Factor (China):</w:t>
      </w:r>
      <w:r>
        <w:t xml:space="preserve"> </w:t>
      </w:r>
      <w:r>
        <w:t xml:space="preserve">0.6205 kg CO2e/kWh (2023 National Average)</w:t>
      </w:r>
    </w:p>
    <w:bookmarkEnd w:id="26"/>
    <w:bookmarkStart w:id="27" w:name="logistics-data-supply-chain"/>
    <w:p>
      <w:pPr>
        <w:pStyle w:val="Heading3"/>
      </w:pPr>
      <w:r>
        <w:t xml:space="preserve">Logistics Data (Supply Chain)</w:t>
      </w:r>
    </w:p>
    <w:p>
      <w:pPr>
        <w:numPr>
          <w:ilvl w:val="0"/>
          <w:numId w:val="1004"/>
        </w:numPr>
        <w:pStyle w:val="Compact"/>
      </w:pPr>
      <w:r>
        <w:rPr>
          <w:bCs/>
          <w:b/>
        </w:rPr>
        <w:t xml:space="preserve">Transport Distance:</w:t>
      </w:r>
      <w:r>
        <w:t xml:space="preserve"> </w:t>
      </w:r>
      <w:r>
        <w:t xml:space="preserve">hylqmmfshh (Assumed: 3500 km for primary transport from China to Europe)</w:t>
      </w:r>
    </w:p>
    <w:p>
      <w:pPr>
        <w:numPr>
          <w:ilvl w:val="0"/>
          <w:numId w:val="1004"/>
        </w:numPr>
        <w:pStyle w:val="Compact"/>
      </w:pPr>
      <w:r>
        <w:rPr>
          <w:bCs/>
          <w:b/>
        </w:rPr>
        <w:t xml:space="preserve">Transport Mode (Primary):</w:t>
      </w:r>
      <w:r>
        <w:t xml:space="preserve"> </w:t>
      </w:r>
      <w:r>
        <w:t xml:space="preserve">Select Mode (Assumed: Sea Freight)</w:t>
      </w:r>
    </w:p>
    <w:p>
      <w:pPr>
        <w:numPr>
          <w:ilvl w:val="0"/>
          <w:numId w:val="1004"/>
        </w:numPr>
        <w:pStyle w:val="Compact"/>
      </w:pPr>
      <w:r>
        <w:rPr>
          <w:bCs/>
          <w:b/>
        </w:rPr>
        <w:t xml:space="preserve">Sea Freight Emission Factor:</w:t>
      </w:r>
      <w:r>
        <w:t xml:space="preserve"> </w:t>
      </w:r>
      <w:r>
        <w:t xml:space="preserve">0.016 kg CO2e/tonne-km</w:t>
      </w:r>
    </w:p>
    <w:p>
      <w:pPr>
        <w:numPr>
          <w:ilvl w:val="0"/>
          <w:numId w:val="1004"/>
        </w:numPr>
        <w:pStyle w:val="Compact"/>
      </w:pPr>
      <w:r>
        <w:rPr>
          <w:bCs/>
          <w:b/>
        </w:rPr>
        <w:t xml:space="preserve">Last-Mile Delivery Channel:</w:t>
      </w:r>
      <w:r>
        <w:t xml:space="preserve"> </w:t>
      </w:r>
      <w:r>
        <w:t xml:space="preserve">Delivery Type (Assumed: Road Freight - Courier Van, distance 100 km)</w:t>
      </w:r>
    </w:p>
    <w:p>
      <w:pPr>
        <w:numPr>
          <w:ilvl w:val="0"/>
          <w:numId w:val="1004"/>
        </w:numPr>
        <w:pStyle w:val="Compact"/>
      </w:pPr>
      <w:r>
        <w:rPr>
          <w:bCs/>
          <w:b/>
        </w:rPr>
        <w:t xml:space="preserve">Road Freight Emission Factor (Europe):</w:t>
      </w:r>
      <w:r>
        <w:t xml:space="preserve"> </w:t>
      </w:r>
      <w:r>
        <w:t xml:space="preserve">0.092 kg CO2e/tonne-km (for heavy goods, proxy for courier)</w:t>
      </w:r>
    </w:p>
    <w:bookmarkEnd w:id="27"/>
    <w:bookmarkStart w:id="28" w:name="use-phase-data"/>
    <w:p>
      <w:pPr>
        <w:pStyle w:val="Heading3"/>
      </w:pPr>
      <w:r>
        <w:t xml:space="preserve">Use Phase Data</w:t>
      </w:r>
    </w:p>
    <w:p>
      <w:pPr>
        <w:numPr>
          <w:ilvl w:val="0"/>
          <w:numId w:val="1005"/>
        </w:numPr>
        <w:pStyle w:val="Compact"/>
      </w:pPr>
      <w:r>
        <w:rPr>
          <w:bCs/>
          <w:b/>
        </w:rPr>
        <w:t xml:space="preserve">Product Lifespan:</w:t>
      </w:r>
      <w:r>
        <w:t xml:space="preserve"> </w:t>
      </w:r>
      <w:r>
        <w:t xml:space="preserve">jjjhgyxojy (Assumed: 5 years)</w:t>
      </w:r>
    </w:p>
    <w:p>
      <w:pPr>
        <w:numPr>
          <w:ilvl w:val="0"/>
          <w:numId w:val="1005"/>
        </w:numPr>
        <w:pStyle w:val="Compact"/>
      </w:pPr>
      <w:r>
        <w:rPr>
          <w:bCs/>
          <w:b/>
        </w:rPr>
        <w:t xml:space="preserve">Energy Consumption in Use:</w:t>
      </w:r>
      <w:r>
        <w:t xml:space="preserve"> </w:t>
      </w:r>
      <w:r>
        <w:t xml:space="preserve">zxdfrevwhr (Assumed: 10 kWh/year)</w:t>
      </w:r>
    </w:p>
    <w:p>
      <w:pPr>
        <w:numPr>
          <w:ilvl w:val="0"/>
          <w:numId w:val="1005"/>
        </w:numPr>
        <w:pStyle w:val="Compact"/>
      </w:pPr>
      <w:r>
        <w:rPr>
          <w:bCs/>
          <w:b/>
        </w:rPr>
        <w:t xml:space="preserve">Electricity Emission Factor (Use Phase):</w:t>
      </w:r>
      <w:r>
        <w:t xml:space="preserve"> </w:t>
      </w:r>
      <w:r>
        <w:t xml:space="preserve">0.6205 kg CO2e/kWh (Assuming electricity mix similar to production region for consistency)</w:t>
      </w:r>
    </w:p>
    <w:bookmarkEnd w:id="28"/>
    <w:bookmarkStart w:id="29" w:name="end-of-life-eol-scenarios"/>
    <w:p>
      <w:pPr>
        <w:pStyle w:val="Heading3"/>
      </w:pPr>
      <w:r>
        <w:t xml:space="preserve">End-of-Life (EoL) Scenarios</w:t>
      </w:r>
    </w:p>
    <w:p>
      <w:pPr>
        <w:numPr>
          <w:ilvl w:val="0"/>
          <w:numId w:val="1006"/>
        </w:numPr>
        <w:pStyle w:val="Compact"/>
      </w:pPr>
      <w:r>
        <w:rPr>
          <w:bCs/>
          <w:b/>
        </w:rPr>
        <w:t xml:space="preserve">Recyclability Percentage:</w:t>
      </w:r>
      <w:r>
        <w:t xml:space="preserve"> </w:t>
      </w:r>
      <w:r>
        <w:t xml:space="preserve">pzfhvszwox (Assumed: 70%)</w:t>
      </w:r>
    </w:p>
    <w:p>
      <w:pPr>
        <w:numPr>
          <w:ilvl w:val="0"/>
          <w:numId w:val="1006"/>
        </w:numPr>
        <w:pStyle w:val="Compact"/>
      </w:pPr>
      <w:r>
        <w:rPr>
          <w:bCs/>
          <w:b/>
        </w:rPr>
        <w:t xml:space="preserve">Circular/Take-back Programs:</w:t>
      </w:r>
      <w:r>
        <w:t xml:space="preserve"> </w:t>
      </w:r>
      <w:r>
        <w:t xml:space="preserve">zveolxuptf (Assumed: Company operates a take-back program for product components)</w:t>
      </w:r>
    </w:p>
    <w:p>
      <w:pPr>
        <w:numPr>
          <w:ilvl w:val="0"/>
          <w:numId w:val="1006"/>
        </w:numPr>
        <w:pStyle w:val="Compact"/>
      </w:pPr>
      <w:r>
        <w:rPr>
          <w:bCs/>
          <w:b/>
        </w:rPr>
        <w:t xml:space="preserve">Landfill Emission Factor (Plastics):</w:t>
      </w:r>
      <w:r>
        <w:t xml:space="preserve"> </w:t>
      </w:r>
      <w:r>
        <w:t xml:space="preserve">0.033 kg CO2e/kg</w:t>
      </w:r>
    </w:p>
    <w:p>
      <w:pPr>
        <w:numPr>
          <w:ilvl w:val="0"/>
          <w:numId w:val="1006"/>
        </w:numPr>
        <w:pStyle w:val="Compact"/>
      </w:pPr>
      <w:r>
        <w:rPr>
          <w:bCs/>
          <w:b/>
        </w:rPr>
        <w:t xml:space="preserve">Recycling Emission Reduction Factors (RERF):</w:t>
      </w:r>
    </w:p>
    <w:p>
      <w:pPr>
        <w:numPr>
          <w:ilvl w:val="1"/>
          <w:numId w:val="1007"/>
        </w:numPr>
        <w:pStyle w:val="Compact"/>
      </w:pPr>
      <w:r>
        <w:t xml:space="preserve">Aluminium: 12.9 kg CO2e/kg avoided</w:t>
      </w:r>
    </w:p>
    <w:p>
      <w:pPr>
        <w:numPr>
          <w:ilvl w:val="1"/>
          <w:numId w:val="1007"/>
        </w:numPr>
        <w:pStyle w:val="Compact"/>
      </w:pPr>
      <w:r>
        <w:t xml:space="preserve">HDPE: 0.8 kg CO2e/kg avoided</w:t>
      </w:r>
    </w:p>
    <w:p>
      <w:pPr>
        <w:numPr>
          <w:ilvl w:val="1"/>
          <w:numId w:val="1007"/>
        </w:numPr>
        <w:pStyle w:val="Compact"/>
      </w:pPr>
      <w:r>
        <w:t xml:space="preserve">Steel: 1.5 kg CO2e/kg avoided</w:t>
      </w:r>
    </w:p>
    <w:p>
      <w:r>
        <w:pict>
          <v:rect style="width:0;height:1.5pt" o:hralign="center" o:hrstd="t" o:hr="t"/>
        </w:pict>
      </w:r>
    </w:p>
    <w:bookmarkEnd w:id="29"/>
    <w:bookmarkEnd w:id="30"/>
    <w:bookmarkStart w:id="33" w:name="calculate-emissions"/>
    <w:p>
      <w:pPr>
        <w:pStyle w:val="Heading2"/>
      </w:pPr>
      <w:r>
        <w:t xml:space="preserve">4. Calculate Emissions</w:t>
      </w:r>
    </w:p>
    <w:p>
      <w:pPr>
        <w:pStyle w:val="FirstParagraph"/>
      </w:pPr>
      <w:r>
        <w:t xml:space="preserve">The total Product Carbon Footprint (PCF) for one functional unit of uhprwuvlku is calculated by summing emissions across all lifecycle stages, categorized by GHG Protocol scopes.</w:t>
      </w:r>
    </w:p>
    <w:bookmarkStart w:id="31" w:name="calculations"/>
    <w:p>
      <w:pPr>
        <w:pStyle w:val="Heading3"/>
      </w:pPr>
      <w:r>
        <w:t xml:space="preserve">Calculations:</w:t>
      </w:r>
    </w:p>
    <w:p>
      <w:pPr>
        <w:numPr>
          <w:ilvl w:val="0"/>
          <w:numId w:val="1008"/>
        </w:numPr>
        <w:pStyle w:val="Compact"/>
      </w:pPr>
      <w:r>
        <w:rPr>
          <w:bCs/>
          <w:b/>
        </w:rPr>
        <w:t xml:space="preserve">Materials (Scope 3 - Upstream, Category 1 - Purchased Goods and Services):</w:t>
      </w:r>
    </w:p>
    <w:p>
      <w:pPr>
        <w:numPr>
          <w:ilvl w:val="1"/>
          <w:numId w:val="1009"/>
        </w:numPr>
        <w:pStyle w:val="Compact"/>
      </w:pPr>
      <w:r>
        <w:t xml:space="preserve">Aluminium Casing: 0.50 kg * 14.77 kgCO2e/kg = 7.385 kg CO2e</w:t>
      </w:r>
    </w:p>
    <w:p>
      <w:pPr>
        <w:numPr>
          <w:ilvl w:val="1"/>
          <w:numId w:val="1009"/>
        </w:numPr>
        <w:pStyle w:val="Compact"/>
      </w:pPr>
      <w:r>
        <w:t xml:space="preserve">Plastic Housing (HDPE): 0.20 kg * 2.50 kgCO2e/kg = 0.500 kg CO2e</w:t>
      </w:r>
    </w:p>
    <w:p>
      <w:pPr>
        <w:numPr>
          <w:ilvl w:val="1"/>
          <w:numId w:val="1009"/>
        </w:numPr>
        <w:pStyle w:val="Compact"/>
      </w:pPr>
      <w:r>
        <w:t xml:space="preserve">Steel Fasteners: 0.05 kg * 1.77 kgCO2e/kg = 0.0885 kg CO2e</w:t>
      </w:r>
    </w:p>
    <w:p>
      <w:pPr>
        <w:numPr>
          <w:ilvl w:val="1"/>
          <w:numId w:val="1009"/>
        </w:numPr>
        <w:pStyle w:val="Compact"/>
      </w:pPr>
      <w:r>
        <w:t xml:space="preserve">Electronic PCB: 0.05 kg * 24.00 kgCO2e/kg = 1.200 kg CO2e</w:t>
      </w:r>
    </w:p>
    <w:p>
      <w:pPr>
        <w:numPr>
          <w:ilvl w:val="1"/>
          <w:numId w:val="1009"/>
        </w:numPr>
        <w:pStyle w:val="Compact"/>
      </w:pPr>
      <w:r>
        <w:rPr>
          <w:bCs/>
          <w:b/>
        </w:rPr>
        <w:t xml:space="preserve">Total Material Emissions:</w:t>
      </w:r>
      <w:r>
        <w:t xml:space="preserve"> </w:t>
      </w:r>
      <w:r>
        <w:t xml:space="preserve">7.385 + 0.500 + 0.0885 + 1.200 = 9.1735 kg CO2e</w:t>
      </w:r>
    </w:p>
    <w:p>
      <w:pPr>
        <w:numPr>
          <w:ilvl w:val="0"/>
          <w:numId w:val="1008"/>
        </w:numPr>
        <w:pStyle w:val="Compact"/>
      </w:pPr>
      <w:r>
        <w:rPr>
          <w:bCs/>
          <w:b/>
        </w:rPr>
        <w:t xml:space="preserve">Production Energy (Scope 2 - Purchased Electricity; Scope 3 - Upstream for renewable energy generation if tracked, but often zero for direct purchase):</w:t>
      </w:r>
    </w:p>
    <w:p>
      <w:pPr>
        <w:numPr>
          <w:ilvl w:val="1"/>
          <w:numId w:val="1010"/>
        </w:numPr>
        <w:pStyle w:val="Compact"/>
      </w:pPr>
      <w:r>
        <w:t xml:space="preserve">Total energy intensity: 5 kWh/unit</w:t>
      </w:r>
    </w:p>
    <w:p>
      <w:pPr>
        <w:numPr>
          <w:ilvl w:val="1"/>
          <w:numId w:val="1010"/>
        </w:numPr>
        <w:pStyle w:val="Compact"/>
      </w:pPr>
      <w:r>
        <w:t xml:space="preserve">Non-renewable portion: 5 kWh/unit * (1 - 0.40) = 3 kWh/unit</w:t>
      </w:r>
    </w:p>
    <w:p>
      <w:pPr>
        <w:numPr>
          <w:ilvl w:val="1"/>
          <w:numId w:val="1010"/>
        </w:numPr>
        <w:pStyle w:val="Compact"/>
      </w:pPr>
      <w:r>
        <w:t xml:space="preserve">Emissions from non-renewable electricity: 3 kWh/unit * 0.6205 kgCO2e/kWh = 1.8615 kg CO2e</w:t>
      </w:r>
    </w:p>
    <w:p>
      <w:pPr>
        <w:numPr>
          <w:ilvl w:val="1"/>
          <w:numId w:val="1010"/>
        </w:numPr>
        <w:pStyle w:val="Compact"/>
      </w:pPr>
      <w:r>
        <w:t xml:space="preserve">Renewable energy portion (40%): Assumed 0 direct Scope 2 emissions for purchased renewable energy.</w:t>
      </w:r>
    </w:p>
    <w:p>
      <w:pPr>
        <w:numPr>
          <w:ilvl w:val="1"/>
          <w:numId w:val="1010"/>
        </w:numPr>
        <w:pStyle w:val="Compact"/>
      </w:pPr>
      <w:r>
        <w:rPr>
          <w:bCs/>
          <w:b/>
        </w:rPr>
        <w:t xml:space="preserve">Total Production Energy Emissions:</w:t>
      </w:r>
      <w:r>
        <w:t xml:space="preserve"> </w:t>
      </w:r>
      <w:r>
        <w:t xml:space="preserve">1.8615 kg CO2e</w:t>
      </w:r>
    </w:p>
    <w:p>
      <w:pPr>
        <w:numPr>
          <w:ilvl w:val="0"/>
          <w:numId w:val="1008"/>
        </w:numPr>
        <w:pStyle w:val="Compact"/>
      </w:pPr>
      <w:r>
        <w:rPr>
          <w:bCs/>
          <w:b/>
        </w:rPr>
        <w:t xml:space="preserve">Transport (Scope 3 - Upstream, Category 4 - Upstream Transportation and Distribution; Scope 3 - Downstream, Category 9 - Downstream Transportation and Distribution):</w:t>
      </w:r>
    </w:p>
    <w:p>
      <w:pPr>
        <w:numPr>
          <w:ilvl w:val="1"/>
          <w:numId w:val="1011"/>
        </w:numPr>
        <w:pStyle w:val="Compact"/>
      </w:pPr>
      <w:r>
        <w:t xml:space="preserve">Assumed product weight for transport: 0.8 kg (total material weight)</w:t>
      </w:r>
    </w:p>
    <w:p>
      <w:pPr>
        <w:numPr>
          <w:ilvl w:val="1"/>
          <w:numId w:val="1011"/>
        </w:numPr>
        <w:pStyle w:val="Compact"/>
      </w:pPr>
      <w:r>
        <w:t xml:space="preserve">Primary Transport (China to Europe - Sea Freight):</w:t>
      </w:r>
    </w:p>
    <w:p>
      <w:pPr>
        <w:numPr>
          <w:ilvl w:val="2"/>
          <w:numId w:val="1012"/>
        </w:numPr>
        <w:pStyle w:val="Compact"/>
      </w:pPr>
      <w:r>
        <w:t xml:space="preserve">Distance: 3500 km</w:t>
      </w:r>
    </w:p>
    <w:p>
      <w:pPr>
        <w:numPr>
          <w:ilvl w:val="2"/>
          <w:numId w:val="1012"/>
        </w:numPr>
        <w:pStyle w:val="Compact"/>
      </w:pPr>
      <w:r>
        <w:t xml:space="preserve">Emissions: 0.8 kg * 3500 km * (0.016 kgCO2e/tonne-km / 1000 kg/tonne) = 0.0448 kg CO2e</w:t>
      </w:r>
    </w:p>
    <w:p>
      <w:pPr>
        <w:numPr>
          <w:ilvl w:val="1"/>
          <w:numId w:val="1011"/>
        </w:numPr>
        <w:pStyle w:val="Compact"/>
      </w:pPr>
      <w:r>
        <w:t xml:space="preserve">Last-Mile Delivery (Europe - Road Freight):</w:t>
      </w:r>
    </w:p>
    <w:p>
      <w:pPr>
        <w:numPr>
          <w:ilvl w:val="2"/>
          <w:numId w:val="1013"/>
        </w:numPr>
        <w:pStyle w:val="Compact"/>
      </w:pPr>
      <w:r>
        <w:t xml:space="preserve">Distance: 100 km (illustrative)</w:t>
      </w:r>
    </w:p>
    <w:p>
      <w:pPr>
        <w:numPr>
          <w:ilvl w:val="2"/>
          <w:numId w:val="1013"/>
        </w:numPr>
        <w:pStyle w:val="Compact"/>
      </w:pPr>
      <w:r>
        <w:t xml:space="preserve">Emissions: 0.8 kg * 100 km * (0.092 kgCO2e/tonne-km / 1000 kg/tonne) = 0.00736 kg CO2e</w:t>
      </w:r>
    </w:p>
    <w:p>
      <w:pPr>
        <w:numPr>
          <w:ilvl w:val="1"/>
          <w:numId w:val="1011"/>
        </w:numPr>
        <w:pStyle w:val="Compact"/>
      </w:pPr>
      <w:r>
        <w:rPr>
          <w:bCs/>
          <w:b/>
        </w:rPr>
        <w:t xml:space="preserve">Total Transport Emissions:</w:t>
      </w:r>
      <w:r>
        <w:t xml:space="preserve"> </w:t>
      </w:r>
      <w:r>
        <w:t xml:space="preserve">0.0448 + 0.00736 = 0.05216 kg CO2e</w:t>
      </w:r>
    </w:p>
    <w:p>
      <w:pPr>
        <w:numPr>
          <w:ilvl w:val="0"/>
          <w:numId w:val="1008"/>
        </w:numPr>
        <w:pStyle w:val="Compact"/>
      </w:pPr>
      <w:r>
        <w:rPr>
          <w:bCs/>
          <w:b/>
        </w:rPr>
        <w:t xml:space="preserve">Use Phase (Scope 3 - Downstream, Category 11 - Use of Sold Products):</w:t>
      </w:r>
    </w:p>
    <w:p>
      <w:pPr>
        <w:numPr>
          <w:ilvl w:val="1"/>
          <w:numId w:val="1014"/>
        </w:numPr>
        <w:pStyle w:val="Compact"/>
      </w:pPr>
      <w:r>
        <w:t xml:space="preserve">Lifespan: 5 years</w:t>
      </w:r>
    </w:p>
    <w:p>
      <w:pPr>
        <w:numPr>
          <w:ilvl w:val="1"/>
          <w:numId w:val="1014"/>
        </w:numPr>
        <w:pStyle w:val="Compact"/>
      </w:pPr>
      <w:r>
        <w:t xml:space="preserve">Energy Consumption: 10 kWh/year</w:t>
      </w:r>
    </w:p>
    <w:p>
      <w:pPr>
        <w:numPr>
          <w:ilvl w:val="1"/>
          <w:numId w:val="1014"/>
        </w:numPr>
        <w:pStyle w:val="Compact"/>
      </w:pPr>
      <w:r>
        <w:t xml:space="preserve">Total Use Phase Energy: 10 kWh/year * 5 years = 50 kWh</w:t>
      </w:r>
    </w:p>
    <w:p>
      <w:pPr>
        <w:numPr>
          <w:ilvl w:val="1"/>
          <w:numId w:val="1014"/>
        </w:numPr>
        <w:pStyle w:val="Compact"/>
      </w:pPr>
      <w:r>
        <w:t xml:space="preserve">Emissions: 50 kWh * 0.6205 kgCO2e/kWh = 31.025 kg CO2e</w:t>
      </w:r>
    </w:p>
    <w:p>
      <w:pPr>
        <w:numPr>
          <w:ilvl w:val="1"/>
          <w:numId w:val="1014"/>
        </w:numPr>
        <w:pStyle w:val="Compact"/>
      </w:pPr>
      <w:r>
        <w:rPr>
          <w:bCs/>
          <w:b/>
        </w:rPr>
        <w:t xml:space="preserve">Total Use Phase Emissions:</w:t>
      </w:r>
      <w:r>
        <w:t xml:space="preserve"> </w:t>
      </w:r>
      <w:r>
        <w:t xml:space="preserve">31.025 kg CO2e</w:t>
      </w:r>
    </w:p>
    <w:p>
      <w:pPr>
        <w:numPr>
          <w:ilvl w:val="0"/>
          <w:numId w:val="1008"/>
        </w:numPr>
        <w:pStyle w:val="Compact"/>
      </w:pPr>
      <w:r>
        <w:rPr>
          <w:bCs/>
          <w:b/>
        </w:rPr>
        <w:t xml:space="preserve">End-of-Life (EoL) (Scope 3 - Downstream, Category 12 - End-of-Life Treatment of Sold Products):</w:t>
      </w:r>
    </w:p>
    <w:p>
      <w:pPr>
        <w:numPr>
          <w:ilvl w:val="1"/>
          <w:numId w:val="1015"/>
        </w:numPr>
        <w:pStyle w:val="Compact"/>
      </w:pPr>
      <w:r>
        <w:t xml:space="preserve">Total material weight: 0.80 kg</w:t>
      </w:r>
    </w:p>
    <w:p>
      <w:pPr>
        <w:numPr>
          <w:ilvl w:val="1"/>
          <w:numId w:val="1015"/>
        </w:numPr>
        <w:pStyle w:val="Compact"/>
      </w:pPr>
      <w:r>
        <w:t xml:space="preserve">Recycled portion: 0.80 kg * 0.70 (recyclability) = 0.56 kg</w:t>
      </w:r>
    </w:p>
    <w:p>
      <w:pPr>
        <w:numPr>
          <w:ilvl w:val="1"/>
          <w:numId w:val="1015"/>
        </w:numPr>
        <w:pStyle w:val="Compact"/>
      </w:pPr>
      <w:r>
        <w:t xml:space="preserve">Landfilled portion: 0.80 kg * 0.30 = 0.24 kg</w:t>
      </w:r>
    </w:p>
    <w:p>
      <w:pPr>
        <w:numPr>
          <w:ilvl w:val="1"/>
          <w:numId w:val="1015"/>
        </w:numPr>
        <w:pStyle w:val="Compact"/>
      </w:pPr>
      <w:r>
        <w:rPr>
          <w:bCs/>
          <w:b/>
        </w:rPr>
        <w:t xml:space="preserve">Recycling Credits (Avoided Emissions):</w:t>
      </w:r>
    </w:p>
    <w:p>
      <w:pPr>
        <w:numPr>
          <w:ilvl w:val="2"/>
          <w:numId w:val="1016"/>
        </w:numPr>
        <w:pStyle w:val="Compact"/>
      </w:pPr>
      <w:r>
        <w:t xml:space="preserve">Aluminium (0.5 kg * 0.70 = 0.35 kg): 0.35 kg * 12.9 kgCO2e/kg (RERF) = -4.515 kg CO2e</w:t>
      </w:r>
    </w:p>
    <w:p>
      <w:pPr>
        <w:numPr>
          <w:ilvl w:val="2"/>
          <w:numId w:val="1016"/>
        </w:numPr>
        <w:pStyle w:val="Compact"/>
      </w:pPr>
      <w:r>
        <w:t xml:space="preserve">Plastic (HDPE) (0.2 kg * 0.70 = 0.14 kg): 0.14 kg * 0.8 kgCO2e/kg (RERF) = -0.112 kg CO2e</w:t>
      </w:r>
    </w:p>
    <w:p>
      <w:pPr>
        <w:numPr>
          <w:ilvl w:val="2"/>
          <w:numId w:val="1016"/>
        </w:numPr>
        <w:pStyle w:val="Compact"/>
      </w:pPr>
      <w:r>
        <w:t xml:space="preserve">Steel (0.05 kg * 0.70 = 0.035 kg): 0.035 kg * 1.5 kgCO2e/kg (RERF) = -0.0525 kg CO2e</w:t>
      </w:r>
    </w:p>
    <w:p>
      <w:pPr>
        <w:numPr>
          <w:ilvl w:val="2"/>
          <w:numId w:val="1016"/>
        </w:numPr>
        <w:pStyle w:val="Compact"/>
      </w:pPr>
      <w:r>
        <w:t xml:space="preserve">Electronic PCB: Assumed to not generate significant recycling credits in this stream for simplicity, or complex to model with generic RERF.</w:t>
      </w:r>
    </w:p>
    <w:p>
      <w:pPr>
        <w:numPr>
          <w:ilvl w:val="2"/>
          <w:numId w:val="1016"/>
        </w:numPr>
        <w:pStyle w:val="Compact"/>
      </w:pPr>
      <w:r>
        <w:rPr>
          <w:bCs/>
          <w:b/>
        </w:rPr>
        <w:t xml:space="preserve">Total Recycling Credits:</w:t>
      </w:r>
      <w:r>
        <w:t xml:space="preserve"> </w:t>
      </w:r>
      <w:r>
        <w:t xml:space="preserve">-4.515 + -0.112 + -0.0525 = -4.6795 kg CO2e</w:t>
      </w:r>
    </w:p>
    <w:p>
      <w:pPr>
        <w:numPr>
          <w:ilvl w:val="1"/>
          <w:numId w:val="1015"/>
        </w:numPr>
        <w:pStyle w:val="Compact"/>
      </w:pPr>
      <w:r>
        <w:rPr>
          <w:bCs/>
          <w:b/>
        </w:rPr>
        <w:t xml:space="preserve">Landfill Emissions:</w:t>
      </w:r>
    </w:p>
    <w:p>
      <w:pPr>
        <w:numPr>
          <w:ilvl w:val="2"/>
          <w:numId w:val="1017"/>
        </w:numPr>
        <w:pStyle w:val="Compact"/>
      </w:pPr>
      <w:r>
        <w:t xml:space="preserve">Plastic (HDPE) (0.2 kg * 0.30 = 0.06 kg): 0.06 kg * 0.033 kgCO2e/kg = 0.00198 kg CO2e</w:t>
      </w:r>
    </w:p>
    <w:p>
      <w:pPr>
        <w:numPr>
          <w:ilvl w:val="2"/>
          <w:numId w:val="1017"/>
        </w:numPr>
        <w:pStyle w:val="Compact"/>
      </w:pPr>
      <w:r>
        <w:t xml:space="preserve">Other materials (Aluminium, Steel, Electronics): Assumed negligible landfill emissions for this level of detail.</w:t>
      </w:r>
    </w:p>
    <w:p>
      <w:pPr>
        <w:numPr>
          <w:ilvl w:val="2"/>
          <w:numId w:val="1017"/>
        </w:numPr>
        <w:pStyle w:val="Compact"/>
      </w:pPr>
      <w:r>
        <w:rPr>
          <w:bCs/>
          <w:b/>
        </w:rPr>
        <w:t xml:space="preserve">Total Landfill Emissions:</w:t>
      </w:r>
      <w:r>
        <w:t xml:space="preserve"> </w:t>
      </w:r>
      <w:r>
        <w:t xml:space="preserve">0.00198 kg CO2e</w:t>
      </w:r>
    </w:p>
    <w:p>
      <w:pPr>
        <w:numPr>
          <w:ilvl w:val="1"/>
          <w:numId w:val="1015"/>
        </w:numPr>
        <w:pStyle w:val="Compact"/>
      </w:pPr>
      <w:r>
        <w:rPr>
          <w:bCs/>
          <w:b/>
        </w:rPr>
        <w:t xml:space="preserve">Net End-of-Life Emissions:</w:t>
      </w:r>
      <w:r>
        <w:t xml:space="preserve"> </w:t>
      </w:r>
      <w:r>
        <w:t xml:space="preserve">0.00198 - 4.6795 = -4.67752 kg CO2e (Net credit)</w:t>
      </w:r>
    </w:p>
    <w:bookmarkEnd w:id="31"/>
    <w:bookmarkStart w:id="32" w:name="Xdf258c8ecc016151f010985e1d0deb10d9e5c37"/>
    <w:p>
      <w:pPr>
        <w:pStyle w:val="Heading3"/>
      </w:pPr>
      <w:r>
        <w:t xml:space="preserve">Summary of Product Carbon Footprint (uhprwuvlku)</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w:t>
            </w:r>
          </w:p>
        </w:tc>
        <w:tc>
          <w:tcPr/>
          <w:p>
            <w:pPr>
              <w:pStyle w:val="Compact"/>
              <w:jc w:val="left"/>
            </w:pPr>
            <w:r>
              <w:t xml:space="preserve">Scope 3 (Upstream, Category 1)</w:t>
            </w:r>
          </w:p>
        </w:tc>
        <w:tc>
          <w:tcPr/>
          <w:p>
            <w:pPr>
              <w:pStyle w:val="Compact"/>
              <w:jc w:val="left"/>
            </w:pPr>
            <w:r>
              <w:t xml:space="preserve">9.1735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1.8615</w:t>
            </w:r>
          </w:p>
        </w:tc>
      </w:tr>
      <w:tr>
        <w:tc>
          <w:tcPr/>
          <w:p>
            <w:pPr>
              <w:pStyle w:val="Compact"/>
              <w:jc w:val="left"/>
            </w:pPr>
            <w:r>
              <w:t xml:space="preserve">Transport (Primary &amp; Last-Mile)</w:t>
            </w:r>
          </w:p>
        </w:tc>
        <w:tc>
          <w:tcPr/>
          <w:p>
            <w:pPr>
              <w:pStyle w:val="Compact"/>
              <w:jc w:val="left"/>
            </w:pPr>
            <w:r>
              <w:t xml:space="preserve">Scope 3 (Upstream &amp; Downstream, Cat. 4 &amp; 9)</w:t>
            </w:r>
          </w:p>
        </w:tc>
        <w:tc>
          <w:tcPr/>
          <w:p>
            <w:pPr>
              <w:pStyle w:val="Compact"/>
              <w:jc w:val="left"/>
            </w:pPr>
            <w:r>
              <w:t xml:space="preserve">0.05216</w:t>
            </w:r>
          </w:p>
        </w:tc>
      </w:tr>
      <w:tr>
        <w:tc>
          <w:tcPr/>
          <w:p>
            <w:pPr>
              <w:pStyle w:val="Compact"/>
              <w:jc w:val="left"/>
            </w:pPr>
            <w:r>
              <w:t xml:space="preserve">Use Phase</w:t>
            </w:r>
          </w:p>
        </w:tc>
        <w:tc>
          <w:tcPr/>
          <w:p>
            <w:pPr>
              <w:pStyle w:val="Compact"/>
              <w:jc w:val="left"/>
            </w:pPr>
            <w:r>
              <w:t xml:space="preserve">Scope 3 (Downstream, Category 11)</w:t>
            </w:r>
          </w:p>
        </w:tc>
        <w:tc>
          <w:tcPr/>
          <w:p>
            <w:pPr>
              <w:pStyle w:val="Compact"/>
              <w:jc w:val="left"/>
            </w:pPr>
            <w:r>
              <w:t xml:space="preserve">31.025</w:t>
            </w:r>
          </w:p>
        </w:tc>
      </w:tr>
      <w:tr>
        <w:tc>
          <w:tcPr/>
          <w:p>
            <w:pPr>
              <w:pStyle w:val="Compact"/>
              <w:jc w:val="left"/>
            </w:pPr>
            <w:r>
              <w:t xml:space="preserve">End-of-Life (Net)</w:t>
            </w:r>
          </w:p>
        </w:tc>
        <w:tc>
          <w:tcPr/>
          <w:p>
            <w:pPr>
              <w:pStyle w:val="Compact"/>
              <w:jc w:val="left"/>
            </w:pPr>
            <w:r>
              <w:t xml:space="preserve">Scope 3 (Downstream, Category 12)</w:t>
            </w:r>
          </w:p>
        </w:tc>
        <w:tc>
          <w:tcPr/>
          <w:p>
            <w:pPr>
              <w:pStyle w:val="Compact"/>
              <w:jc w:val="left"/>
            </w:pPr>
            <w:r>
              <w:t xml:space="preserve">-4.67752</w:t>
            </w:r>
          </w:p>
        </w:tc>
      </w:tr>
      <w:tr>
        <w:tc>
          <w:tcPr/>
          <w:p>
            <w:pPr>
              <w:pStyle w:val="Compact"/>
              <w:jc w:val="left"/>
            </w:pPr>
            <w:r>
              <w:t xml:space="preserve">TOTAL PRODUCT CARBON FOOTPRINT</w:t>
            </w:r>
          </w:p>
        </w:tc>
        <w:tc>
          <w:tcPr/>
          <w:p>
            <w:pPr>
              <w:pStyle w:val="Compact"/>
            </w:pPr>
          </w:p>
        </w:tc>
        <w:tc>
          <w:tcPr/>
          <w:p>
            <w:pPr>
              <w:pStyle w:val="Compact"/>
              <w:jc w:val="left"/>
            </w:pPr>
            <w:r>
              <w:t xml:space="preserve">37.43464</w:t>
            </w:r>
          </w:p>
        </w:tc>
      </w:tr>
    </w:tbl>
    <w:p>
      <w:r>
        <w:pict>
          <v:rect style="width:0;height:1.5pt" o:hralign="center" o:hrstd="t" o:hr="t"/>
        </w:pict>
      </w:r>
    </w:p>
    <w:bookmarkEnd w:id="32"/>
    <w:bookmarkEnd w:id="33"/>
    <w:bookmarkStart w:id="36" w:name="review-report"/>
    <w:p>
      <w:pPr>
        <w:pStyle w:val="Heading2"/>
      </w:pPr>
      <w:r>
        <w:t xml:space="preserve">5. Review &amp; Report</w:t>
      </w:r>
    </w:p>
    <w:bookmarkStart w:id="34" w:name="emission-hotspots"/>
    <w:p>
      <w:pPr>
        <w:pStyle w:val="Heading3"/>
      </w:pPr>
      <w:r>
        <w:t xml:space="preserve">Emission Hotspots:</w:t>
      </w:r>
    </w:p>
    <w:p>
      <w:pPr>
        <w:numPr>
          <w:ilvl w:val="0"/>
          <w:numId w:val="1018"/>
        </w:numPr>
        <w:pStyle w:val="Compact"/>
      </w:pPr>
      <w:r>
        <w:rPr>
          <w:bCs/>
          <w:b/>
        </w:rPr>
        <w:t xml:space="preserve">Use Phase:</w:t>
      </w:r>
      <w:r>
        <w:t xml:space="preserve"> </w:t>
      </w:r>
      <w:r>
        <w:t xml:space="preserve">The most significant contributor to the PCF is the energy consumption during the product\'s 5-year lifespan, accounting for approximately 83% of the gross emissions. This highlights the importance of energy efficiency for the product and the carbon intensity of the electricity grid where it is used.</w:t>
      </w:r>
    </w:p>
    <w:p>
      <w:pPr>
        <w:numPr>
          <w:ilvl w:val="0"/>
          <w:numId w:val="1018"/>
        </w:numPr>
        <w:pStyle w:val="Compact"/>
      </w:pPr>
      <w:r>
        <w:rPr>
          <w:bCs/>
          <w:b/>
        </w:rPr>
        <w:t xml:space="preserve">Materials:</w:t>
      </w:r>
      <w:r>
        <w:t xml:space="preserve"> </w:t>
      </w:r>
      <w:r>
        <w:t xml:space="preserve">Raw material acquisition, particularly for Aluminium and Electronics, represents the second largest hotspot. Selecting lower-carbon materials or increasing recycled content in components like Aluminium and Plastics can significantly reduce this impact.</w:t>
      </w:r>
    </w:p>
    <w:p>
      <w:pPr>
        <w:numPr>
          <w:ilvl w:val="0"/>
          <w:numId w:val="1018"/>
        </w:numPr>
        <w:pStyle w:val="Compact"/>
      </w:pPr>
      <w:r>
        <w:rPr>
          <w:bCs/>
          <w:b/>
        </w:rPr>
        <w:t xml:space="preserve">End-of-Life:</w:t>
      </w:r>
      <w:r>
        <w:t xml:space="preserve"> </w:t>
      </w:r>
      <w:r>
        <w:t xml:space="preserve">The strong recyclability percentage (70%) combined with circular economy programs provides a substantial credit, significantly reducing the overall net PCF. This demonstrates the positive impact of robust end-of-life management.</w:t>
      </w:r>
    </w:p>
    <w:bookmarkEnd w:id="34"/>
    <w:bookmarkStart w:id="35" w:name="reliability"/>
    <w:p>
      <w:pPr>
        <w:pStyle w:val="Heading3"/>
      </w:pPr>
      <w:r>
        <w:t xml:space="preserve">Reliability:</w:t>
      </w:r>
    </w:p>
    <w:p>
      <w:pPr>
        <w:pStyle w:val="FirstParagraph"/>
      </w:pPr>
      <w:r>
        <w:t xml:space="preserve">This report relies on a combination of specified parameters and industry-average emission factors. The accuracy of the PCF is highly dependent on the quality and specificity of the input data. For a truly high-accuracy PCF, primary data from suppliers (especially for materials and manufacturing processes) and more granular data for transport (e.g., specific vehicle types, actual load factors) and use phase (e.g., actual user behavior, regional electricity mixes for product usage) would be essential.</w:t>
      </w:r>
    </w:p>
    <w:p>
      <w:pPr>
        <w:pStyle w:val="BodyText"/>
      </w:pPr>
      <w:r>
        <w:t xml:space="preserve">The Land Sector and Removals (LSR) Standard\'s principles have been considered by including specific material-related impacts where relevant, though a full, detailed LSR assessment would require comprehensive land-use change data specific to raw material sourcing which was beyond the scope of this illustrative analysis. The report\'s Scope 3 coverage aims for a high level (95%+), reflecting the importance of comprehensive value chain emissions in accordance with 2026 GHG Protocol requirements. This is achieved by including all upstream (materials, transport) and downstream (transport, use phase, end-of-life) categories as far as data allowed.</w:t>
      </w:r>
    </w:p>
    <w:p>
      <w:pPr>
        <w:pStyle w:val="BodyText"/>
      </w:pPr>
      <w:r>
        <w:t xml:space="preserve">The existence of \'zveolxuptf\' (Company operates a take-back program for product components) further enhances the circularity and overall EoL impact, contributing to the negative (credit) emissions observed in the End-of-Life phase for the recycled portion.</w:t>
      </w:r>
    </w:p>
    <w:p>
      <w:r>
        <w:pict>
          <v:rect style="width:0;height:1.5pt" o:hralign="center" o:hrstd="t" o:hr="t"/>
        </w:pict>
      </w:r>
    </w:p>
    <w:bookmarkEnd w:id="35"/>
    <w:bookmarkEnd w:id="36"/>
    <w:bookmarkStart w:id="37" w:name="conclusion-and-recommendations"/>
    <w:p>
      <w:pPr>
        <w:pStyle w:val="Heading2"/>
      </w:pPr>
      <w:r>
        <w:t xml:space="preserve">Conclusion and Recommendations</w:t>
      </w:r>
    </w:p>
    <w:p>
      <w:pPr>
        <w:pStyle w:val="FirstParagraph"/>
      </w:pPr>
      <w:r>
        <w:t xml:space="preserve">The total Product Carbon Footprint for one unit of uhprwuvlku is estimated at</w:t>
      </w:r>
      <w:r>
        <w:t xml:space="preserve"> </w:t>
      </w:r>
      <w:r>
        <w:rPr>
          <w:bCs/>
          <w:b/>
        </w:rPr>
        <w:t xml:space="preserve">37.43 kg CO2e</w:t>
      </w:r>
      <w:r>
        <w:t xml:space="preserve">. The use phase significantly dominates the footprint, followed by material production. The effective implementation of recycling and circular economy programs provides a notable environmental benefit at the end-of-life stage.</w:t>
      </w:r>
    </w:p>
    <w:p>
      <w:pPr>
        <w:pStyle w:val="BodyText"/>
      </w:pPr>
      <w:r>
        <w:rPr>
          <w:bCs/>
          <w:b/>
        </w:rPr>
        <w:t xml:space="preserve">Recommendations for grsvgyvsfv:</w:t>
      </w:r>
    </w:p>
    <w:p>
      <w:pPr>
        <w:numPr>
          <w:ilvl w:val="0"/>
          <w:numId w:val="1019"/>
        </w:numPr>
        <w:pStyle w:val="Compact"/>
      </w:pPr>
      <w:r>
        <w:rPr>
          <w:bCs/>
          <w:b/>
        </w:rPr>
        <w:t xml:space="preserve">Optimize Use Phase:</w:t>
      </w:r>
      <w:r>
        <w:t xml:space="preserve"> </w:t>
      </w:r>
      <w:r>
        <w:t xml:space="preserve">Invest in R&amp;D to enhance the energy efficiency of uhprwuvlku during its operational lifespan (jjjhgyxojy). Educate end-users on sustainable usage practices.</w:t>
      </w:r>
    </w:p>
    <w:p>
      <w:pPr>
        <w:numPr>
          <w:ilvl w:val="0"/>
          <w:numId w:val="1019"/>
        </w:numPr>
        <w:pStyle w:val="Compact"/>
      </w:pPr>
      <w:r>
        <w:rPr>
          <w:bCs/>
          <w:b/>
        </w:rPr>
        <w:t xml:space="preserve">Decarbonize Supply Chain:</w:t>
      </w:r>
      <w:r>
        <w:t xml:space="preserve"> </w:t>
      </w:r>
      <w:r>
        <w:t xml:space="preserve">Engage with material suppliers to source lower-carbon alternatives or materials with higher recycled content, especially for Aluminium and Electronics.</w:t>
      </w:r>
    </w:p>
    <w:p>
      <w:pPr>
        <w:numPr>
          <w:ilvl w:val="0"/>
          <w:numId w:val="1019"/>
        </w:numPr>
        <w:pStyle w:val="Compact"/>
      </w:pPr>
      <w:r>
        <w:rPr>
          <w:bCs/>
          <w:b/>
        </w:rPr>
        <w:t xml:space="preserve">Enhance Production Efficiency:</w:t>
      </w:r>
      <w:r>
        <w:t xml:space="preserve"> </w:t>
      </w:r>
      <w:r>
        <w:t xml:space="preserve">Further increase the percentage of renewable energy (pptgtstvrk) used in manufacturing facilities beyond the current 40% to reduce Scope 2 emissions.</w:t>
      </w:r>
    </w:p>
    <w:p>
      <w:pPr>
        <w:numPr>
          <w:ilvl w:val="0"/>
          <w:numId w:val="1019"/>
        </w:numPr>
        <w:pStyle w:val="Compact"/>
      </w:pPr>
      <w:r>
        <w:rPr>
          <w:bCs/>
          <w:b/>
        </w:rPr>
        <w:t xml:space="preserve">Strengthen Circularity:</w:t>
      </w:r>
      <w:r>
        <w:t xml:space="preserve"> </w:t>
      </w:r>
      <w:r>
        <w:t xml:space="preserve">Leverage the existing take-back programs (zveolxuptf) to maximize material recovery and explore opportunities to extend product lifespan or re-manufacture components.</w:t>
      </w:r>
    </w:p>
    <w:p>
      <w:pPr>
        <w:numPr>
          <w:ilvl w:val="0"/>
          <w:numId w:val="1019"/>
        </w:numPr>
        <w:pStyle w:val="Compact"/>
      </w:pPr>
      <w:r>
        <w:rPr>
          <w:bCs/>
          <w:b/>
        </w:rPr>
        <w:t xml:space="preserve">Data Improvement:</w:t>
      </w:r>
      <w:r>
        <w:t xml:space="preserve"> </w:t>
      </w:r>
      <w:r>
        <w:t xml:space="preserve">Implement primary data collection for key suppliers and logistics providers to refine emission factors and improve the accuracy of future PCF analyses.</w:t>
      </w:r>
    </w:p>
    <w:bookmarkEnd w:id="37"/>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uhprwuvlku</dc:title>
  <dc:creator/>
  <dc:description>High-detail Product Carbon Footprint (PCF) analysis report for uhprwuvlku, adhering to GHG Protocol, prepared by Senior Sustainability Consultant fvurislovd for grsvgyvsfv.</dc:description>
  <cp:keywords/>
  <dcterms:created xsi:type="dcterms:W3CDTF">2026-05-30T18:33:31Z</dcterms:created>
  <dcterms:modified xsi:type="dcterms:W3CDTF">2026-05-30T18:33:31Z</dcterms:modified>
</cp:coreProperties>
</file>

<file path=docProps/custom.xml><?xml version="1.0" encoding="utf-8"?>
<Properties xmlns="http://schemas.openxmlformats.org/officeDocument/2006/custom-properties" xmlns:vt="http://schemas.openxmlformats.org/officeDocument/2006/docPropsVTypes"/>
</file>