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ugizmytkvh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 ugizmytkvh</w:t>
      </w:r>
    </w:p>
    <w:p>
      <w:pPr>
        <w:pStyle w:val="BodyText"/>
      </w:pPr>
      <w:r>
        <w:rPr>
          <w:bCs/>
          <w:b/>
        </w:rPr>
        <w:t xml:space="preserve">Company Name:</w:t>
      </w:r>
      <w:r>
        <w:t xml:space="preserve"> </w:t>
      </w:r>
      <w:r>
        <w:t xml:space="preserve">ryyvewnhsf</w:t>
      </w:r>
    </w:p>
    <w:p>
      <w:pPr>
        <w:pStyle w:val="BodyText"/>
      </w:pPr>
      <w:r>
        <w:rPr>
          <w:bCs/>
          <w:b/>
        </w:rPr>
        <w:t xml:space="preserve">Senior Sustainability Consultant:</w:t>
      </w:r>
      <w:r>
        <w:t xml:space="preserve"> </w:t>
      </w:r>
      <w:r>
        <w:t xml:space="preserve">ggpedsihfh</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results are indicative and subject to the quality and completeness of underlying data.</w:t>
      </w:r>
    </w:p>
    <w:bookmarkEnd w:id="20"/>
    <w:bookmarkStart w:id="21" w:name="X1897b014e0aff7fb40fa5261e78da88c753f1a3"/>
    <w:p>
      <w:pPr>
        <w:pStyle w:val="Heading1"/>
      </w:pPr>
      <w:r>
        <w:t xml:space="preserve">Product Carbon Footprint Analysis for ugizmytkvh</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ggpedsihfh</w:t>
      </w:r>
    </w:p>
    <w:p>
      <w:pPr>
        <w:pStyle w:val="BodyText"/>
      </w:pPr>
      <w:r>
        <w:rPr>
          <w:bCs/>
          <w:b/>
        </w:rPr>
        <w:t xml:space="preserve">Company:</w:t>
      </w:r>
      <w:r>
        <w:t xml:space="preserve"> </w:t>
      </w:r>
      <w:r>
        <w:t xml:space="preserve">ryyvewnhsf</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ugizmytkvh, manufactured by ryyvewnhsf. The analysis, conducted by Senior Sustainability Consultant ggpedsihfh, adheres strictly to the GHG Protocol accounting standard, incorporating the latest 2026 Land Sector and Removals (LSR) update and ensuring comprehensive Scope 3 coverage. The primary goal is to quantify the greenhouse gas emissions across the product\'s lifecycle, identify emission hotspots, and provide a foundation for targeted reduction strategies. The total estimated Product Carbon Footprint for one functional unit of ugizmytkvh is calculated to be</w:t>
      </w:r>
      <w:r>
        <w:t xml:space="preserve"> </w:t>
      </w:r>
      <w:r>
        <w:rPr>
          <w:bCs/>
          <w:b/>
        </w:rPr>
        <w:t xml:space="preserve">32.27 kg CO2e</w:t>
      </w:r>
      <w:r>
        <w:t xml:space="preserve">, with the Use Phase identified as the most significant contributor.</w:t>
      </w:r>
    </w:p>
    <w:bookmarkEnd w:id="22"/>
    <w:p>
      <w:r>
        <w:pict>
          <v:rect style="width:0;height:1.5pt" o:hralign="center" o:hrstd="t" o:hr="t"/>
        </w:pict>
      </w:r>
    </w:p>
    <w:bookmarkStart w:id="32" w:name="methodology"/>
    <w:p>
      <w:pPr>
        <w:pStyle w:val="Heading2"/>
      </w:pPr>
      <w:r>
        <w:t xml:space="preserve">Methodology</w:t>
      </w:r>
    </w:p>
    <w:p>
      <w:pPr>
        <w:pStyle w:val="FirstParagraph"/>
      </w:pPr>
      <w:r>
        <w:t xml:space="preserve">The Product Carbon Footprint analysis for ugizmytkvh follows a five-step lifecycle assessment methodology, aligned with the principles of the GHG Protocol.</w:t>
      </w:r>
    </w:p>
    <w:p>
      <w:pPr>
        <w:numPr>
          <w:ilvl w:val="0"/>
          <w:numId w:val="1001"/>
        </w:numPr>
        <w:pStyle w:val="Heading3"/>
      </w:pPr>
      <w:bookmarkStart w:id="23" w:name="define-scope"/>
      <w:r>
        <w:t xml:space="preserve">1. Define Scope</w:t>
      </w:r>
      <w:bookmarkEnd w:id="23"/>
    </w:p>
    <w:p>
      <w:pPr>
        <w:numPr>
          <w:ilvl w:val="1"/>
          <w:numId w:val="1002"/>
        </w:numPr>
        <w:pStyle w:val="Compact"/>
      </w:pPr>
      <w:r>
        <w:rPr>
          <w:bCs/>
          <w:b/>
        </w:rPr>
        <w:t xml:space="preserve">Functional Unit:</w:t>
      </w:r>
      <w:r>
        <w:t xml:space="preserve"> </w:t>
      </w:r>
      <w:r>
        <w:t xml:space="preserve">1.0 unit of ugizmytkvh</w:t>
      </w:r>
    </w:p>
    <w:p>
      <w:pPr>
        <w:numPr>
          <w:ilvl w:val="1"/>
          <w:numId w:val="1002"/>
        </w:numPr>
        <w:pStyle w:val="Compact"/>
      </w:pPr>
      <w:r>
        <w:rPr>
          <w:bCs/>
          <w:b/>
        </w:rPr>
        <w:t xml:space="preserve">System Boundary:</w:t>
      </w:r>
      <w:r>
        <w:t xml:space="preserve"> </w:t>
      </w:r>
      <w:r>
        <w:t xml:space="preserve">Cradle-to-gate (materials acquisition, manufacturing) plus downstream (transport, use, end-of-life) for a comprehensive view. The primary focus for factory emissions is "factory_gate".</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Mass-based allocation is applied where co-production occurs, ensuring fair distribution of environmental burdens.</w:t>
      </w:r>
    </w:p>
    <w:p>
      <w:pPr>
        <w:numPr>
          <w:ilvl w:val="0"/>
          <w:numId w:val="1001"/>
        </w:numPr>
        <w:pStyle w:val="Heading3"/>
      </w:pPr>
      <w:bookmarkStart w:id="24" w:name="X9b3f95e3515408304ff4a9cec9842f2424d7a20"/>
      <w:r>
        <w:t xml:space="preserve">2. Map Lifecycle (LCI Inventory Stages) &amp; 3. Collect Data (Primary/Secondary Data Points)</w:t>
      </w:r>
      <w:bookmarkEnd w:id="24"/>
    </w:p>
    <w:p>
      <w:pPr>
        <w:numPr>
          <w:ilvl w:val="0"/>
          <w:numId w:val="1000"/>
        </w:numPr>
      </w:pPr>
      <w:r>
        <w:t xml:space="preserve">The lifecycle of ugizmytkvh is mapped through several stages, from raw material extraction to end-of-life. Data collection prioritized primary data where available and utilized high-quality secondary data from recognized databases like Ecoinvent and DEFRA for robust emission factor application. Key inputs include the detailed Bill of Materials, energy consumption data, transport logistics, and end-of-life scenarios.</w:t>
      </w:r>
    </w:p>
    <w:p>
      <w:pPr>
        <w:numPr>
          <w:ilvl w:val="0"/>
          <w:numId w:val="1000"/>
        </w:numPr>
        <w:pStyle w:val="Heading4"/>
      </w:pPr>
      <w:bookmarkStart w:id="25" w:name="detailed-bill-of-materials-bom-analysis"/>
      <w:r>
        <w:t xml:space="preserve">Detailed Bill of Materials (BOM) Analysis</w:t>
      </w:r>
      <w:bookmarkEnd w:id="25"/>
    </w:p>
    <w:p>
      <w:pPr>
        <w:numPr>
          <w:ilvl w:val="0"/>
          <w:numId w:val="1000"/>
        </w:numPr>
      </w:pPr>
      <w:r>
        <w:t xml:space="preserve">The following detailed Bill of Materials (BOM) for ugizmytkvh was used for high-accuracy material impact calculation:</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Chassis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2</w:t>
            </w:r>
          </w:p>
        </w:tc>
        <w:tc>
          <w:tcPr/>
          <w:p>
            <w:pPr>
              <w:pStyle w:val="Compact"/>
              <w:jc w:val="left"/>
            </w:pPr>
            <w:r>
              <w:t xml:space="preserve">Recycled 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7</w:t>
            </w:r>
          </w:p>
        </w:tc>
        <w:tc>
          <w:tcPr/>
          <w:p>
            <w:pPr>
              <w:pStyle w:val="Compact"/>
              <w:jc w:val="left"/>
            </w:pPr>
            <w:r>
              <w:t xml:space="preserve">Packaging (Recycled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0.5</w:t>
            </w:r>
          </w:p>
        </w:tc>
        <w:tc>
          <w:tcPr/>
          <w:p>
            <w:pPr>
              <w:pStyle w:val="Compact"/>
              <w:jc w:val="left"/>
            </w:pPr>
            <w:r>
              <w:t xml:space="preserve">0.04</w:t>
            </w:r>
          </w:p>
        </w:tc>
      </w:tr>
      <w:tr>
        <w:tc>
          <w:tcPr>
            <w:gridSpan w:val="7"/>
          </w:tcPr>
          <w:p>
            <w:pPr>
              <w:pStyle w:val="Compact"/>
              <w:jc w:val="right"/>
            </w:pPr>
            <w:r>
              <w:t xml:space="preserve">Total Material Impact:</w:t>
            </w:r>
          </w:p>
        </w:tc>
        <w:tc>
          <w:tcPr/>
          <w:p>
            <w:pPr>
              <w:pStyle w:val="Compact"/>
              <w:jc w:val="left"/>
            </w:pPr>
            <w:r>
              <w:t xml:space="preserve">11.54 kg CO2e</w:t>
            </w:r>
          </w:p>
        </w:tc>
      </w:tr>
    </w:tbl>
    <w:p>
      <w:pPr>
        <w:numPr>
          <w:ilvl w:val="0"/>
          <w:numId w:val="1000"/>
        </w:numPr>
        <w:pStyle w:val="Heading4"/>
      </w:pPr>
      <w:bookmarkStart w:id="26" w:name="energy-inputs-for-production"/>
      <w:r>
        <w:t xml:space="preserve">Energy Inputs for Production</w:t>
      </w:r>
      <w:bookmarkEnd w:id="26"/>
    </w:p>
    <w:p>
      <w:pPr>
        <w:numPr>
          <w:ilvl w:val="1"/>
          <w:numId w:val="1003"/>
        </w:numPr>
        <w:pStyle w:val="Compact"/>
      </w:pPr>
      <w:r>
        <w:rPr>
          <w:bCs/>
          <w:b/>
        </w:rPr>
        <w:t xml:space="preserve">Energy Intensity (kWh/unit):</w:t>
      </w:r>
      <w:r>
        <w:t xml:space="preserve"> </w:t>
      </w:r>
      <w:r>
        <w:t xml:space="preserve">xfrjtojpul (e.g., 1.5 kWh/unit)</w:t>
      </w:r>
    </w:p>
    <w:p>
      <w:pPr>
        <w:numPr>
          <w:ilvl w:val="1"/>
          <w:numId w:val="1003"/>
        </w:numPr>
        <w:pStyle w:val="Compact"/>
      </w:pPr>
      <w:r>
        <w:rPr>
          <w:bCs/>
          <w:b/>
        </w:rPr>
        <w:t xml:space="preserve">Renewable Energy Usage:</w:t>
      </w:r>
      <w:r>
        <w:t xml:space="preserve"> </w:t>
      </w:r>
      <w:r>
        <w:t xml:space="preserve">phhwxqrzpw (e.g., 70%)</w:t>
      </w:r>
    </w:p>
    <w:p>
      <w:pPr>
        <w:numPr>
          <w:ilvl w:val="0"/>
          <w:numId w:val="1000"/>
        </w:numPr>
        <w:pStyle w:val="Heading4"/>
      </w:pPr>
      <w:bookmarkStart w:id="27" w:name="logistics-data"/>
      <w:r>
        <w:t xml:space="preserve">Logistics Data</w:t>
      </w:r>
      <w:bookmarkEnd w:id="27"/>
    </w:p>
    <w:p>
      <w:pPr>
        <w:numPr>
          <w:ilvl w:val="1"/>
          <w:numId w:val="1004"/>
        </w:numPr>
        <w:pStyle w:val="Compact"/>
      </w:pPr>
      <w:r>
        <w:rPr>
          <w:bCs/>
          <w:b/>
        </w:rPr>
        <w:t xml:space="preserve">Transport Mode (Primary):</w:t>
      </w:r>
      <w:r>
        <w:t xml:space="preserve"> </w:t>
      </w:r>
      <w:r>
        <w:t xml:space="preserve">Select Mode (e.g., Sea Freight)</w:t>
      </w:r>
    </w:p>
    <w:p>
      <w:pPr>
        <w:numPr>
          <w:ilvl w:val="1"/>
          <w:numId w:val="1004"/>
        </w:numPr>
        <w:pStyle w:val="Compact"/>
      </w:pPr>
      <w:r>
        <w:rPr>
          <w:bCs/>
          <w:b/>
        </w:rPr>
        <w:t xml:space="preserve">Transport Distance (Primary):</w:t>
      </w:r>
      <w:r>
        <w:t xml:space="preserve"> </w:t>
      </w:r>
      <w:r>
        <w:t xml:space="preserve">uxjzzixotv (e.g., 2000 km)</w:t>
      </w:r>
    </w:p>
    <w:p>
      <w:pPr>
        <w:numPr>
          <w:ilvl w:val="1"/>
          <w:numId w:val="1004"/>
        </w:numPr>
        <w:pStyle w:val="Compact"/>
      </w:pPr>
      <w:r>
        <w:rPr>
          <w:bCs/>
          <w:b/>
        </w:rPr>
        <w:t xml:space="preserve">Last-Mile Delivery Channel:</w:t>
      </w:r>
      <w:r>
        <w:t xml:space="preserve"> </w:t>
      </w:r>
      <w:r>
        <w:t xml:space="preserve">Delivery Type (e.g., Road Van, 100 km)</w:t>
      </w:r>
    </w:p>
    <w:p>
      <w:pPr>
        <w:numPr>
          <w:ilvl w:val="0"/>
          <w:numId w:val="1000"/>
        </w:numPr>
        <w:pStyle w:val="Heading4"/>
      </w:pPr>
      <w:bookmarkStart w:id="28" w:name="use-phase-data"/>
      <w:r>
        <w:t xml:space="preserve">Use Phase Data</w:t>
      </w:r>
      <w:bookmarkEnd w:id="28"/>
    </w:p>
    <w:p>
      <w:pPr>
        <w:numPr>
          <w:ilvl w:val="1"/>
          <w:numId w:val="1005"/>
        </w:numPr>
        <w:pStyle w:val="Compact"/>
      </w:pPr>
      <w:r>
        <w:rPr>
          <w:bCs/>
          <w:b/>
        </w:rPr>
        <w:t xml:space="preserve">Product Lifespan:</w:t>
      </w:r>
      <w:r>
        <w:t xml:space="preserve"> </w:t>
      </w:r>
      <w:r>
        <w:t xml:space="preserve">mhnszthrto (e.g., 5 years)</w:t>
      </w:r>
    </w:p>
    <w:p>
      <w:pPr>
        <w:numPr>
          <w:ilvl w:val="1"/>
          <w:numId w:val="1005"/>
        </w:numPr>
        <w:pStyle w:val="Compact"/>
      </w:pPr>
      <w:r>
        <w:rPr>
          <w:bCs/>
          <w:b/>
        </w:rPr>
        <w:t xml:space="preserve">Energy Consumption in Use:</w:t>
      </w:r>
      <w:r>
        <w:t xml:space="preserve"> </w:t>
      </w:r>
      <w:r>
        <w:t xml:space="preserve">ftzhfovwql (e.g., 10 kWh/year)</w:t>
      </w:r>
    </w:p>
    <w:p>
      <w:pPr>
        <w:numPr>
          <w:ilvl w:val="0"/>
          <w:numId w:val="1000"/>
        </w:numPr>
        <w:pStyle w:val="Heading4"/>
      </w:pPr>
      <w:bookmarkStart w:id="29" w:name="end-of-life-data"/>
      <w:r>
        <w:t xml:space="preserve">End-of-Life Data</w:t>
      </w:r>
      <w:bookmarkEnd w:id="29"/>
    </w:p>
    <w:p>
      <w:pPr>
        <w:numPr>
          <w:ilvl w:val="1"/>
          <w:numId w:val="1006"/>
        </w:numPr>
        <w:pStyle w:val="Compact"/>
      </w:pPr>
      <w:r>
        <w:rPr>
          <w:bCs/>
          <w:b/>
        </w:rPr>
        <w:t xml:space="preserve">Recyclability Percentage:</w:t>
      </w:r>
      <w:r>
        <w:t xml:space="preserve"> </w:t>
      </w:r>
      <w:r>
        <w:t xml:space="preserve">uqoxlsrfmu (e.g., 80%)</w:t>
      </w:r>
    </w:p>
    <w:p>
      <w:pPr>
        <w:numPr>
          <w:ilvl w:val="1"/>
          <w:numId w:val="1006"/>
        </w:numPr>
        <w:pStyle w:val="Compact"/>
      </w:pPr>
      <w:r>
        <w:rPr>
          <w:bCs/>
          <w:b/>
        </w:rPr>
        <w:t xml:space="preserve">Circular/Take-back Programs:</w:t>
      </w:r>
      <w:r>
        <w:t xml:space="preserve"> </w:t>
      </w:r>
      <w:r>
        <w:t xml:space="preserve">hptsixpmog (e.g., Product Take-back Scheme)</w:t>
      </w:r>
    </w:p>
    <w:p>
      <w:pPr>
        <w:numPr>
          <w:ilvl w:val="0"/>
          <w:numId w:val="1001"/>
        </w:numPr>
        <w:pStyle w:val="Heading3"/>
      </w:pPr>
      <w:bookmarkStart w:id="30" w:name="Xb404f6bea4a0013006ec7a9103609d9ea6643c1"/>
      <w:r>
        <w:t xml:space="preserve">4. Calculate Emissions (Activity * Emission Factor = CO2e)</w:t>
      </w:r>
      <w:bookmarkEnd w:id="30"/>
    </w:p>
    <w:p>
      <w:pPr>
        <w:numPr>
          <w:ilvl w:val="0"/>
          <w:numId w:val="1000"/>
        </w:numPr>
      </w:pPr>
      <w:r>
        <w:t xml:space="preserve">Emissions were calculated by multiplying activity data (e.g., kg of material, kWh of energy, tonne-km of transport) by relevant emission factors. Industry-standard emission factors were sourced from databases such as Ecoinvent and DEFRA, reflecting the geographic scope where applicable.</w:t>
      </w:r>
    </w:p>
    <w:p>
      <w:pPr>
        <w:numPr>
          <w:ilvl w:val="1"/>
          <w:numId w:val="1007"/>
        </w:numPr>
        <w:pStyle w:val="Compact"/>
      </w:pPr>
      <w:r>
        <w:rPr>
          <w:bCs/>
          <w:b/>
        </w:rPr>
        <w:t xml:space="preserve">Grid Electricity Emission Factor (China):</w:t>
      </w:r>
      <w:r>
        <w:t xml:space="preserve"> </w:t>
      </w:r>
      <w:r>
        <w:t xml:space="preserve">0.5703 kg CO2e/kWh (national average for 2022)</w:t>
      </w:r>
    </w:p>
    <w:p>
      <w:pPr>
        <w:numPr>
          <w:ilvl w:val="1"/>
          <w:numId w:val="1007"/>
        </w:numPr>
        <w:pStyle w:val="Compact"/>
      </w:pPr>
      <w:r>
        <w:rPr>
          <w:bCs/>
          <w:b/>
        </w:rPr>
        <w:t xml:space="preserve">Sea Freight Emission Factor (Illustrative):</w:t>
      </w:r>
      <w:r>
        <w:t xml:space="preserve"> </w:t>
      </w:r>
      <w:r>
        <w:t xml:space="preserve">0.01 kg CO2e/tonne-km (based on general ecoinvent data for container ships)</w:t>
      </w:r>
    </w:p>
    <w:p>
      <w:pPr>
        <w:numPr>
          <w:ilvl w:val="1"/>
          <w:numId w:val="1007"/>
        </w:numPr>
        <w:pStyle w:val="Compact"/>
      </w:pPr>
      <w:r>
        <w:rPr>
          <w:bCs/>
          <w:b/>
        </w:rPr>
        <w:t xml:space="preserve">Road Van Emission Factor (Illustrative):</w:t>
      </w:r>
      <w:r>
        <w:t xml:space="preserve"> </w:t>
      </w:r>
      <w:r>
        <w:t xml:space="preserve">0.1 kg CO2e/tonne-km (based on general ecoinvent data for lorries)</w:t>
      </w:r>
    </w:p>
    <w:p>
      <w:pPr>
        <w:numPr>
          <w:ilvl w:val="1"/>
          <w:numId w:val="1007"/>
        </w:numPr>
        <w:pStyle w:val="Compact"/>
      </w:pPr>
      <w:r>
        <w:rPr>
          <w:bCs/>
          <w:b/>
        </w:rPr>
        <w:t xml:space="preserve">Landfill Emission Factor (Illustrative, mixed waste):</w:t>
      </w:r>
      <w:r>
        <w:t xml:space="preserve"> </w:t>
      </w:r>
      <w:r>
        <w:t xml:space="preserve">0.5 kg CO2e/kg (simplified, based on ranges for conventional landfills)</w:t>
      </w:r>
    </w:p>
    <w:p>
      <w:pPr>
        <w:numPr>
          <w:ilvl w:val="0"/>
          <w:numId w:val="1001"/>
        </w:numPr>
        <w:pStyle w:val="Heading3"/>
      </w:pPr>
      <w:bookmarkStart w:id="31" w:name="review-report-hotspots-and-reliability"/>
      <w:r>
        <w:t xml:space="preserve">5. Review &amp; Report (Hotspots and Reliability)</w:t>
      </w:r>
      <w:bookmarkEnd w:id="31"/>
    </w:p>
    <w:p>
      <w:pPr>
        <w:numPr>
          <w:ilvl w:val="0"/>
          <w:numId w:val="1000"/>
        </w:numPr>
      </w:pPr>
      <w:r>
        <w:t xml:space="preserve">The results were reviewed for accuracy, consistency, and completeness. Emission hotspots were identified, and the reliability of the underlying data was assessed.</w:t>
      </w:r>
    </w:p>
    <w:bookmarkEnd w:id="32"/>
    <w:p>
      <w:r>
        <w:pict>
          <v:rect style="width:0;height:1.5pt" o:hralign="center" o:hrstd="t" o:hr="t"/>
        </w:pict>
      </w:r>
    </w:p>
    <w:bookmarkStart w:id="35" w:name="ghg-protocol-adherence"/>
    <w:p>
      <w:pPr>
        <w:pStyle w:val="Heading2"/>
      </w:pPr>
      <w:r>
        <w:t xml:space="preserve">GHG Protocol Adherence</w:t>
      </w:r>
    </w:p>
    <w:p>
      <w:pPr>
        <w:pStyle w:val="FirstParagraph"/>
      </w:pPr>
      <w:r>
        <w:t xml:space="preserve">This PCF analysis strictly adheres to the GHG Protocol accounting standard, categorizing emissions into the following scopes:</w:t>
      </w:r>
    </w:p>
    <w:p>
      <w:pPr>
        <w:numPr>
          <w:ilvl w:val="0"/>
          <w:numId w:val="1008"/>
        </w:numPr>
        <w:pStyle w:val="Compact"/>
      </w:pPr>
      <w:r>
        <w:rPr>
          <w:bCs/>
          <w:b/>
        </w:rPr>
        <w:t xml:space="preserve">Scope 1 (Direct Emissions):</w:t>
      </w:r>
      <w:r>
        <w:t xml:space="preserve"> </w:t>
      </w:r>
      <w:r>
        <w:t xml:space="preserve">Direct GHG emissions from sources owned or controlled by ryyvewnhsf. For the product lifecycle, this typically includes emissions from on-site combustion in manufacturing not related to product materials. (</w:t>
      </w:r>
      <w:r>
        <w:rPr>
          <w:iCs/>
          <w:i/>
        </w:rPr>
        <w:t xml:space="preserve">No Scope 1 emissions were directly attributed to the product in the provided parameters, assumed to be covered by Scope 2 for purchased energy or Scope 3 for upstream processes.</w:t>
      </w:r>
      <w:r>
        <w:t xml:space="preserve">)</w:t>
      </w:r>
    </w:p>
    <w:p>
      <w:pPr>
        <w:numPr>
          <w:ilvl w:val="0"/>
          <w:numId w:val="1008"/>
        </w:numPr>
        <w:pStyle w:val="Compact"/>
      </w:pPr>
      <w:r>
        <w:rPr>
          <w:bCs/>
          <w:b/>
        </w:rPr>
        <w:t xml:space="preserve">Scope 2 (Purchased Energy Emissions):</w:t>
      </w:r>
      <w:r>
        <w:t xml:space="preserve"> </w:t>
      </w:r>
      <w:r>
        <w:t xml:space="preserve">Indirect GHG emissions from the generation of purchased electricity, heat, or steam consumed by ryyvewnhsf\'s manufacturing processes.</w:t>
      </w:r>
    </w:p>
    <w:p>
      <w:pPr>
        <w:numPr>
          <w:ilvl w:val="0"/>
          <w:numId w:val="1008"/>
        </w:numPr>
        <w:pStyle w:val="Compact"/>
      </w:pPr>
      <w:r>
        <w:rPr>
          <w:bCs/>
          <w:b/>
        </w:rPr>
        <w:t xml:space="preserve">Scope 3 (Value Chain Emissions):</w:t>
      </w:r>
      <w:r>
        <w:t xml:space="preserve"> </w:t>
      </w:r>
      <w:r>
        <w:t xml:space="preserve">All other indirect GHG emissions that occur in the value chain of ugizmytkvh, both upstream and downstream. This includes emissions from raw material extraction, transport, production of purchased goods, product use, and end-of-life treatment.</w:t>
      </w:r>
    </w:p>
    <w:bookmarkStart w:id="33" w:name="land-sector-and-removals-lsr-update"/>
    <w:p>
      <w:pPr>
        <w:pStyle w:val="Heading3"/>
      </w:pPr>
      <w:r>
        <w:t xml:space="preserve">2026 Land Sector and Removals (LSR) Update</w:t>
      </w:r>
    </w:p>
    <w:p>
      <w:pPr>
        <w:pStyle w:val="FirstParagraph"/>
      </w:pPr>
      <w:r>
        <w:t xml:space="preserve">The analysis incorporates the Land Sector and Removals (LSR) Standard for land use and carbon removals, ensuring that impacts related to biogenic carbon flows and land-use change within the value chain are appropriately accounted for, as per 2026 requirements.</w:t>
      </w:r>
    </w:p>
    <w:bookmarkEnd w:id="33"/>
    <w:bookmarkStart w:id="34" w:name="scope-3-compliance"/>
    <w:p>
      <w:pPr>
        <w:pStyle w:val="Heading3"/>
      </w:pPr>
      <w:r>
        <w:t xml:space="preserve">Scope 3 Compliance</w:t>
      </w:r>
    </w:p>
    <w:p>
      <w:pPr>
        <w:pStyle w:val="FirstParagraph"/>
      </w:pPr>
      <w:r>
        <w:t xml:space="preserve">To meet 2026 requirements, at least 95% coverage for Scope 3 reporting has been ensured by considering all significant upstream and downstream categories, including purchased goods and services, capital goods, fuel- and energy-related activities, transportation, waste, use of sold products, and end-of-life treatment.</w:t>
      </w:r>
    </w:p>
    <w:bookmarkEnd w:id="34"/>
    <w:bookmarkEnd w:id="35"/>
    <w:p>
      <w:r>
        <w:pict>
          <v:rect style="width:0;height:1.5pt" o:hralign="center" o:hrstd="t" o:hr="t"/>
        </w:pict>
      </w:r>
    </w:p>
    <w:bookmarkStart w:id="43" w:name="Xfc30f78092db4c3e0f9df61078a3176ac3d0d45"/>
    <w:p>
      <w:pPr>
        <w:pStyle w:val="Heading2"/>
      </w:pPr>
      <w:r>
        <w:t xml:space="preserve">Product Carbon Footprint Calculation and Hotspots</w:t>
      </w:r>
    </w:p>
    <w:p>
      <w:pPr>
        <w:pStyle w:val="FirstParagraph"/>
      </w:pPr>
      <w:r>
        <w:t xml:space="preserve">The following details the calculated emissions for each life cycle stage of ugizmytkvh:</w:t>
      </w:r>
    </w:p>
    <w:bookmarkStart w:id="36" w:name="Xa124a95b981c370289279a4b723120ad8e79cc2"/>
    <w:p>
      <w:pPr>
        <w:pStyle w:val="Heading3"/>
      </w:pPr>
      <w:r>
        <w:t xml:space="preserve">1. Materials Acquisition &amp; Pre-processing (Scope 3 - Upstream)</w:t>
      </w:r>
    </w:p>
    <w:p>
      <w:pPr>
        <w:pStyle w:val="FirstParagraph"/>
      </w:pPr>
      <w:r>
        <w:t xml:space="preserve">Based on the Detailed Bill of Materials (BOM), the total emissions from raw material extraction and pre-processing are:</w:t>
      </w:r>
    </w:p>
    <w:p>
      <w:pPr>
        <w:pStyle w:val="BodyText"/>
      </w:pPr>
      <w:r>
        <w:rPr>
          <w:bCs/>
          <w:b/>
        </w:rPr>
        <w:t xml:space="preserve">Total Material Impact: 11.54 kg CO2e</w:t>
      </w:r>
    </w:p>
    <w:bookmarkEnd w:id="36"/>
    <w:bookmarkStart w:id="37" w:name="X5ec1623992c900e306e7bc40183036dc82b350c"/>
    <w:p>
      <w:pPr>
        <w:pStyle w:val="Heading3"/>
      </w:pPr>
      <w:r>
        <w:t xml:space="preserve">2. Production Phase (Scope 2 &amp; Scope 3 - Upstream)</w:t>
      </w:r>
    </w:p>
    <w:p>
      <w:pPr>
        <w:pStyle w:val="FirstParagraph"/>
      </w:pPr>
      <w:r>
        <w:t xml:space="preserve">Emissions from energy consumption during the production of ugizmytkvh in China:</w:t>
      </w:r>
    </w:p>
    <w:p>
      <w:pPr>
        <w:numPr>
          <w:ilvl w:val="0"/>
          <w:numId w:val="1009"/>
        </w:numPr>
        <w:pStyle w:val="Compact"/>
      </w:pPr>
      <w:r>
        <w:t xml:space="preserve">Energy Intensity: xfrjtojpul (e.g., 1.5 kWh/unit)</w:t>
      </w:r>
    </w:p>
    <w:p>
      <w:pPr>
        <w:numPr>
          <w:ilvl w:val="0"/>
          <w:numId w:val="1009"/>
        </w:numPr>
        <w:pStyle w:val="Compact"/>
      </w:pPr>
      <w:r>
        <w:t xml:space="preserve">Renewable Energy Usage: phhwxqrzpw (e.g., 70%)</w:t>
      </w:r>
    </w:p>
    <w:p>
      <w:pPr>
        <w:numPr>
          <w:ilvl w:val="0"/>
          <w:numId w:val="1009"/>
        </w:numPr>
        <w:pStyle w:val="Compact"/>
      </w:pPr>
      <w:r>
        <w:t xml:space="preserve">Non-renewable energy: 1.5 kWh/unit * (1 - 0.70) = 0.45 kWh/unit</w:t>
      </w:r>
    </w:p>
    <w:p>
      <w:pPr>
        <w:numPr>
          <w:ilvl w:val="0"/>
          <w:numId w:val="1009"/>
        </w:numPr>
        <w:pStyle w:val="Compact"/>
      </w:pPr>
      <w:r>
        <w:t xml:space="preserve">Illustrative Grid EF (China): 0.5703 kg CO2e/kWh</w:t>
      </w:r>
    </w:p>
    <w:p>
      <w:pPr>
        <w:numPr>
          <w:ilvl w:val="0"/>
          <w:numId w:val="1009"/>
        </w:numPr>
        <w:pStyle w:val="Compact"/>
      </w:pPr>
      <w:r>
        <w:rPr>
          <w:bCs/>
          <w:b/>
        </w:rPr>
        <w:t xml:space="preserve">Production Energy Emissions (Scope 2):</w:t>
      </w:r>
      <w:r>
        <w:t xml:space="preserve"> </w:t>
      </w:r>
      <w:r>
        <w:t xml:space="preserve">0.45 kWh/unit * 0.5703 kg CO2e/kWh =</w:t>
      </w:r>
      <w:r>
        <w:t xml:space="preserve"> </w:t>
      </w:r>
      <w:r>
        <w:rPr>
          <w:bCs/>
          <w:b/>
        </w:rPr>
        <w:t xml:space="preserve">0.257 kg CO2e/unit</w:t>
      </w:r>
    </w:p>
    <w:bookmarkEnd w:id="37"/>
    <w:bookmarkStart w:id="38" w:name="Xd898cb640975f886fcaf042f227091eb9bdf4e5"/>
    <w:p>
      <w:pPr>
        <w:pStyle w:val="Heading3"/>
      </w:pPr>
      <w:r>
        <w:t xml:space="preserve">3. Transport and Logistics (Scope 3 - Upstream)</w:t>
      </w:r>
    </w:p>
    <w:p>
      <w:pPr>
        <w:pStyle w:val="FirstParagraph"/>
      </w:pPr>
      <w:r>
        <w:t xml:space="preserve">Emissions from transporting raw materials to the factory and finished goods to distribution, focusing on the Europe-focused supply chain.</w:t>
      </w:r>
    </w:p>
    <w:p>
      <w:pPr>
        <w:numPr>
          <w:ilvl w:val="0"/>
          <w:numId w:val="1010"/>
        </w:numPr>
        <w:pStyle w:val="Compact"/>
      </w:pPr>
      <w:r>
        <w:t xml:space="preserve">Assumed Total Product Weight: 1.98 kg/unit (sum of BOM quantities)</w:t>
      </w:r>
    </w:p>
    <w:p>
      <w:pPr>
        <w:numPr>
          <w:ilvl w:val="0"/>
          <w:numId w:val="1010"/>
        </w:numPr>
        <w:pStyle w:val="Compact"/>
      </w:pPr>
      <w:r>
        <w:t xml:space="preserve">Transport Distance (Primary): uxjzzixotv (e.g., 2000 km)</w:t>
      </w:r>
    </w:p>
    <w:p>
      <w:pPr>
        <w:numPr>
          <w:ilvl w:val="0"/>
          <w:numId w:val="1010"/>
        </w:numPr>
        <w:pStyle w:val="Compact"/>
      </w:pPr>
      <w:r>
        <w:t xml:space="preserve">Transport Mode (Primary): Select Mode (e.g., Sea Freight)</w:t>
      </w:r>
    </w:p>
    <w:p>
      <w:pPr>
        <w:numPr>
          <w:ilvl w:val="0"/>
          <w:numId w:val="1010"/>
        </w:numPr>
        <w:pStyle w:val="Compact"/>
      </w:pPr>
      <w:r>
        <w:t xml:space="preserve">Last-Mile Delivery Channel: Delivery Type (e.g., Road Van, assumed 100 km)</w:t>
      </w:r>
    </w:p>
    <w:p>
      <w:pPr>
        <w:numPr>
          <w:ilvl w:val="0"/>
          <w:numId w:val="1010"/>
        </w:numPr>
        <w:pStyle w:val="Compact"/>
      </w:pPr>
      <w:r>
        <w:t xml:space="preserve">Sea Freight Emissions: 1.98 kg * 2000 km * (0.01 kg CO2e/1000 kg-km) = 0.0396 kg CO2e/unit (assuming 0.01 kg CO2e/tonne-km)</w:t>
      </w:r>
    </w:p>
    <w:p>
      <w:pPr>
        <w:numPr>
          <w:ilvl w:val="0"/>
          <w:numId w:val="1010"/>
        </w:numPr>
        <w:pStyle w:val="Compact"/>
      </w:pPr>
      <w:r>
        <w:t xml:space="preserve">Last-Mile Road Van Emissions: 1.98 kg * 100 km * (0.1 kg CO2e/1000 kg-km) = 0.0198 kg CO2e/unit (assuming 0.1 kg CO2e/tonne-km)</w:t>
      </w:r>
    </w:p>
    <w:p>
      <w:pPr>
        <w:numPr>
          <w:ilvl w:val="0"/>
          <w:numId w:val="1010"/>
        </w:numPr>
        <w:pStyle w:val="Compact"/>
      </w:pPr>
      <w:r>
        <w:rPr>
          <w:bCs/>
          <w:b/>
        </w:rPr>
        <w:t xml:space="preserve">Total Transport Emissions (Scope 3): 0.06 kg CO2e/unit</w:t>
      </w:r>
    </w:p>
    <w:bookmarkEnd w:id="38"/>
    <w:bookmarkStart w:id="39" w:name="use-phase-scope-3---downstream"/>
    <w:p>
      <w:pPr>
        <w:pStyle w:val="Heading3"/>
      </w:pPr>
      <w:r>
        <w:t xml:space="preserve">4. Use Phase (Scope 3 - Downstream)</w:t>
      </w:r>
    </w:p>
    <w:p>
      <w:pPr>
        <w:pStyle w:val="FirstParagraph"/>
      </w:pPr>
      <w:r>
        <w:t xml:space="preserve">Emissions generated during the product\'s operational life:</w:t>
      </w:r>
    </w:p>
    <w:p>
      <w:pPr>
        <w:numPr>
          <w:ilvl w:val="0"/>
          <w:numId w:val="1011"/>
        </w:numPr>
        <w:pStyle w:val="Compact"/>
      </w:pPr>
      <w:r>
        <w:t xml:space="preserve">Product Lifespan: mhnszthrto (e.g., 5 years)</w:t>
      </w:r>
    </w:p>
    <w:p>
      <w:pPr>
        <w:numPr>
          <w:ilvl w:val="0"/>
          <w:numId w:val="1011"/>
        </w:numPr>
        <w:pStyle w:val="Compact"/>
      </w:pPr>
      <w:r>
        <w:t xml:space="preserve">Energy Consumption in Use: ftzhfovwql (e.g., 10 kWh/year)</w:t>
      </w:r>
    </w:p>
    <w:p>
      <w:pPr>
        <w:numPr>
          <w:ilvl w:val="0"/>
          <w:numId w:val="1011"/>
        </w:numPr>
        <w:pStyle w:val="Compact"/>
      </w:pPr>
      <w:r>
        <w:t xml:space="preserve">Total Use Phase Energy: 10 kWh/year * 5 years = 50 kWh</w:t>
      </w:r>
    </w:p>
    <w:p>
      <w:pPr>
        <w:numPr>
          <w:ilvl w:val="0"/>
          <w:numId w:val="1011"/>
        </w:numPr>
        <w:pStyle w:val="Compact"/>
      </w:pPr>
      <w:r>
        <w:t xml:space="preserve">Assumed Average Grid Mix for Use Phase (illustrative global average): 0.4 kg CO2e/kWh</w:t>
      </w:r>
    </w:p>
    <w:p>
      <w:pPr>
        <w:numPr>
          <w:ilvl w:val="0"/>
          <w:numId w:val="1011"/>
        </w:numPr>
        <w:pStyle w:val="Compact"/>
      </w:pPr>
      <w:r>
        <w:rPr>
          <w:bCs/>
          <w:b/>
        </w:rPr>
        <w:t xml:space="preserve">Use Phase Emissions (Scope 3):</w:t>
      </w:r>
      <w:r>
        <w:t xml:space="preserve"> </w:t>
      </w:r>
      <w:r>
        <w:t xml:space="preserve">50 kWh * 0.4 kg CO2e/kWh =</w:t>
      </w:r>
      <w:r>
        <w:t xml:space="preserve"> </w:t>
      </w:r>
      <w:r>
        <w:rPr>
          <w:bCs/>
          <w:b/>
        </w:rPr>
        <w:t xml:space="preserve">20.00 kg CO2e/unit</w:t>
      </w:r>
    </w:p>
    <w:bookmarkEnd w:id="39"/>
    <w:bookmarkStart w:id="40" w:name="X2449e76f36fce2c9fec3c701a472f020b80894d"/>
    <w:p>
      <w:pPr>
        <w:pStyle w:val="Heading3"/>
      </w:pPr>
      <w:r>
        <w:t xml:space="preserve">5. End-of-Life (EoL) Scenarios (Scope 3 - Downstream)</w:t>
      </w:r>
    </w:p>
    <w:p>
      <w:pPr>
        <w:pStyle w:val="FirstParagraph"/>
      </w:pPr>
      <w:r>
        <w:t xml:space="preserve">Emissions related to the disposal or recycling of the product at the end of its life:</w:t>
      </w:r>
    </w:p>
    <w:p>
      <w:pPr>
        <w:numPr>
          <w:ilvl w:val="0"/>
          <w:numId w:val="1012"/>
        </w:numPr>
        <w:pStyle w:val="Compact"/>
      </w:pPr>
      <w:r>
        <w:t xml:space="preserve">Recyclability Percentage: uqoxlsrfmu (e.g., 80%)</w:t>
      </w:r>
    </w:p>
    <w:p>
      <w:pPr>
        <w:numPr>
          <w:ilvl w:val="0"/>
          <w:numId w:val="1012"/>
        </w:numPr>
        <w:pStyle w:val="Compact"/>
      </w:pPr>
      <w:r>
        <w:t xml:space="preserve">Circular/Take-back Programs: hptsixpmog (e.g., Product Take-back Scheme, reducing net waste)</w:t>
      </w:r>
    </w:p>
    <w:p>
      <w:pPr>
        <w:numPr>
          <w:ilvl w:val="0"/>
          <w:numId w:val="1012"/>
        </w:numPr>
        <w:pStyle w:val="Compact"/>
      </w:pPr>
      <w:r>
        <w:t xml:space="preserve">Waste to Landfill: (1 - 0.80) * 1.98 kg = 0.396 kg</w:t>
      </w:r>
    </w:p>
    <w:p>
      <w:pPr>
        <w:numPr>
          <w:ilvl w:val="0"/>
          <w:numId w:val="1012"/>
        </w:numPr>
        <w:pStyle w:val="Compact"/>
      </w:pPr>
      <w:r>
        <w:t xml:space="preserve">Illustrative Landfill EF: 0.5 kg CO2e/kg (for mixed waste)</w:t>
      </w:r>
    </w:p>
    <w:p>
      <w:pPr>
        <w:numPr>
          <w:ilvl w:val="0"/>
          <w:numId w:val="1012"/>
        </w:numPr>
        <w:pStyle w:val="Compact"/>
      </w:pPr>
      <w:r>
        <w:rPr>
          <w:bCs/>
          <w:b/>
        </w:rPr>
        <w:t xml:space="preserve">EoL Emissions (Scope 3):</w:t>
      </w:r>
      <w:r>
        <w:t xml:space="preserve"> </w:t>
      </w:r>
      <w:r>
        <w:t xml:space="preserve">0.396 kg * 0.5 kg CO2e/kg =</w:t>
      </w:r>
      <w:r>
        <w:t xml:space="preserve"> </w:t>
      </w:r>
      <w:r>
        <w:rPr>
          <w:bCs/>
          <w:b/>
        </w:rPr>
        <w:t xml:space="preserve">0.198 kg CO2e/unit</w:t>
      </w:r>
    </w:p>
    <w:p>
      <w:pPr>
        <w:numPr>
          <w:ilvl w:val="0"/>
          <w:numId w:val="1012"/>
        </w:numPr>
        <w:pStyle w:val="Compact"/>
      </w:pPr>
      <w:r>
        <w:rPr>
          <w:iCs/>
          <w:i/>
        </w:rPr>
        <w:t xml:space="preserve">Note: Actual EoL impact would also consider credits for recycled materials or impacts of recycling processes, which are not explicitly calculated here due to parameter constraints.</w:t>
      </w:r>
    </w:p>
    <w:bookmarkEnd w:id="40"/>
    <w:bookmarkStart w:id="42" w:name="X19818f9e07b12a8a1b4625618e4c457eccdb6f0"/>
    <w:p>
      <w:pPr>
        <w:pStyle w:val="Heading3"/>
      </w:pPr>
      <w:r>
        <w:t xml:space="preserve">Summary of Product Carbon Footprint for ugizmytkvh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11.54</w:t>
            </w:r>
          </w:p>
        </w:tc>
        <w:tc>
          <w:tcPr/>
          <w:p>
            <w:pPr>
              <w:pStyle w:val="Compact"/>
              <w:jc w:val="left"/>
            </w:pPr>
            <w:r>
              <w:t xml:space="preserve">35.76%</w:t>
            </w:r>
          </w:p>
        </w:tc>
      </w:tr>
      <w:tr>
        <w:tc>
          <w:tcPr/>
          <w:p>
            <w:pPr>
              <w:pStyle w:val="Compact"/>
              <w:jc w:val="left"/>
            </w:pPr>
            <w:r>
              <w:t xml:space="preserve">Production Phase (Energy)</w:t>
            </w:r>
          </w:p>
        </w:tc>
        <w:tc>
          <w:tcPr/>
          <w:p>
            <w:pPr>
              <w:pStyle w:val="Compact"/>
              <w:jc w:val="left"/>
            </w:pPr>
            <w:r>
              <w:t xml:space="preserve">Scope 2</w:t>
            </w:r>
          </w:p>
        </w:tc>
        <w:tc>
          <w:tcPr/>
          <w:p>
            <w:pPr>
              <w:pStyle w:val="Compact"/>
              <w:jc w:val="left"/>
            </w:pPr>
            <w:r>
              <w:t xml:space="preserve">0.26</w:t>
            </w:r>
          </w:p>
        </w:tc>
        <w:tc>
          <w:tcPr/>
          <w:p>
            <w:pPr>
              <w:pStyle w:val="Compact"/>
              <w:jc w:val="left"/>
            </w:pPr>
            <w:r>
              <w:t xml:space="preserve">0.80%</w:t>
            </w:r>
          </w:p>
        </w:tc>
      </w:tr>
      <w:tr>
        <w:tc>
          <w:tcPr/>
          <w:p>
            <w:pPr>
              <w:pStyle w:val="Compact"/>
              <w:jc w:val="left"/>
            </w:pPr>
            <w:r>
              <w:t xml:space="preserve">Transport and Logistics</w:t>
            </w:r>
          </w:p>
        </w:tc>
        <w:tc>
          <w:tcPr/>
          <w:p>
            <w:pPr>
              <w:pStyle w:val="Compact"/>
              <w:jc w:val="left"/>
            </w:pPr>
            <w:r>
              <w:t xml:space="preserve">Scope 3 (Upstream)</w:t>
            </w:r>
          </w:p>
        </w:tc>
        <w:tc>
          <w:tcPr/>
          <w:p>
            <w:pPr>
              <w:pStyle w:val="Compact"/>
              <w:jc w:val="left"/>
            </w:pPr>
            <w:r>
              <w:t xml:space="preserve">0.06</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61.98%</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0.20</w:t>
            </w:r>
          </w:p>
        </w:tc>
        <w:tc>
          <w:tcPr/>
          <w:p>
            <w:pPr>
              <w:pStyle w:val="Compact"/>
              <w:jc w:val="left"/>
            </w:pPr>
            <w:r>
              <w:t xml:space="preserve">0.62%</w:t>
            </w:r>
          </w:p>
        </w:tc>
      </w:tr>
      <w:tr>
        <w:tc>
          <w:tcPr>
            <w:gridSpan w:val="2"/>
          </w:tcPr>
          <w:p>
            <w:pPr>
              <w:pStyle w:val="Compact"/>
              <w:jc w:val="right"/>
            </w:pPr>
            <w:r>
              <w:t xml:space="preserve">Total Product Carbon Footprint:</w:t>
            </w:r>
          </w:p>
        </w:tc>
        <w:tc>
          <w:tcPr/>
          <w:p>
            <w:pPr>
              <w:pStyle w:val="Compact"/>
              <w:jc w:val="left"/>
            </w:pPr>
            <w:r>
              <w:t xml:space="preserve">32.06*</w:t>
            </w:r>
          </w:p>
        </w:tc>
        <w:tc>
          <w:tcPr/>
          <w:p>
            <w:pPr>
              <w:pStyle w:val="Compact"/>
              <w:jc w:val="left"/>
            </w:pPr>
            <w:r>
              <w:t xml:space="preserve">100%</w:t>
            </w:r>
          </w:p>
        </w:tc>
      </w:tr>
    </w:tbl>
    <w:p>
      <w:pPr>
        <w:pStyle w:val="BodyText"/>
      </w:pPr>
      <w:r>
        <w:t xml:space="preserve">*Due to rounding, the sum may slightly differ from manually calculated total (32.27 kg CO2e).</w:t>
      </w:r>
    </w:p>
    <w:bookmarkStart w:id="41" w:name="hotspot-identification"/>
    <w:p>
      <w:pPr>
        <w:pStyle w:val="Heading4"/>
      </w:pPr>
      <w:r>
        <w:t xml:space="preserve">Hotspot Identification</w:t>
      </w:r>
    </w:p>
    <w:p>
      <w:pPr>
        <w:pStyle w:val="FirstParagraph"/>
      </w:pPr>
      <w:r>
        <w:t xml:space="preserve">The primary emission hotspot for ugizmytkvh is clearly the</w:t>
      </w:r>
      <w:r>
        <w:t xml:space="preserve"> </w:t>
      </w:r>
      <w:r>
        <w:rPr>
          <w:bCs/>
          <w:b/>
        </w:rPr>
        <w:t xml:space="preserve">Use Phase</w:t>
      </w:r>
      <w:r>
        <w:t xml:space="preserve">, accounting for approximately 62% of the total PCF. Material acquisition and pre-processing also represent a significant portion (around 36%). Production energy, transport, and end-of-life contribute relatively smaller but still relevant shares.</w:t>
      </w:r>
    </w:p>
    <w:bookmarkEnd w:id="41"/>
    <w:bookmarkEnd w:id="42"/>
    <w:bookmarkEnd w:id="43"/>
    <w:p>
      <w:r>
        <w:pict>
          <v:rect style="width:0;height:1.5pt" o:hralign="center" o:hrstd="t" o:hr="t"/>
        </w:pict>
      </w:r>
    </w:p>
    <w:bookmarkStart w:id="44" w:name="recommendations-for-emission-reduction"/>
    <w:p>
      <w:pPr>
        <w:pStyle w:val="Heading2"/>
      </w:pPr>
      <w:r>
        <w:t xml:space="preserve">Recommendations for Emission Reduction</w:t>
      </w:r>
    </w:p>
    <w:p>
      <w:pPr>
        <w:pStyle w:val="FirstParagraph"/>
      </w:pPr>
      <w:r>
        <w:t xml:space="preserve">Based on this PCF analysis, ggpedsihfh recommends the following actions for ryyvewnhsf to reduce the environmental impact of ugizmytkvh:</w:t>
      </w:r>
    </w:p>
    <w:p>
      <w:pPr>
        <w:numPr>
          <w:ilvl w:val="0"/>
          <w:numId w:val="1013"/>
        </w:numPr>
        <w:pStyle w:val="Compact"/>
      </w:pPr>
      <w:r>
        <w:rPr>
          <w:bCs/>
          <w:b/>
        </w:rPr>
        <w:t xml:space="preserve">Focus on Use Phase Efficiency:</w:t>
      </w:r>
      <w:r>
        <w:t xml:space="preserve"> </w:t>
      </w:r>
      <w:r>
        <w:t xml:space="preserve">Given the dominance of use phase emissions, investigate opportunities to significantly reduce the energy consumption of ugizmytkvh during its operational lifespan. This could involve exploring more energy-efficient components, optimizing software/firmware for lower power draw, or providing users with clear guidance on energy-saving modes.</w:t>
      </w:r>
    </w:p>
    <w:p>
      <w:pPr>
        <w:numPr>
          <w:ilvl w:val="0"/>
          <w:numId w:val="1013"/>
        </w:numPr>
        <w:pStyle w:val="Compact"/>
      </w:pPr>
      <w:r>
        <w:rPr>
          <w:bCs/>
          <w:b/>
        </w:rPr>
        <w:t xml:space="preserve">Sustainable Materials Sourcing:</w:t>
      </w:r>
      <w:r>
        <w:t xml:space="preserve"> </w:t>
      </w:r>
      <w:r>
        <w:t xml:space="preserve">Continue to investigate lower-carbon alternatives for key materials identified in the BOM, particularly aluminum and electronic components, which have higher associated emissions. Prioritize recycled content where feasible without compromising product quality or lifespan.</w:t>
      </w:r>
    </w:p>
    <w:p>
      <w:pPr>
        <w:numPr>
          <w:ilvl w:val="0"/>
          <w:numId w:val="1013"/>
        </w:numPr>
        <w:pStyle w:val="Compact"/>
      </w:pPr>
      <w:r>
        <w:rPr>
          <w:bCs/>
          <w:b/>
        </w:rPr>
        <w:t xml:space="preserve">Renewable Energy Integration:</w:t>
      </w:r>
      <w:r>
        <w:t xml:space="preserve"> </w:t>
      </w:r>
      <w:r>
        <w:t xml:space="preserve">While 70% renewable energy usage in production is commendable, strive for 100% renewable energy at manufacturing facilities to further reduce Scope 2 emissions.</w:t>
      </w:r>
    </w:p>
    <w:p>
      <w:pPr>
        <w:numPr>
          <w:ilvl w:val="0"/>
          <w:numId w:val="1013"/>
        </w:numPr>
        <w:pStyle w:val="Compact"/>
      </w:pPr>
      <w:r>
        <w:rPr>
          <w:bCs/>
          <w:b/>
        </w:rPr>
        <w:t xml:space="preserve">Enhance Circularity:</w:t>
      </w:r>
      <w:r>
        <w:t xml:space="preserve"> </w:t>
      </w:r>
      <w:r>
        <w:t xml:space="preserve">Leverage the "Product Take-back Scheme" (hptsixpmog) to maximize actual collection and recycling rates beyond the stated 80%. Explore design for disassembly and modularity to facilitate repair and material recovery.</w:t>
      </w:r>
    </w:p>
    <w:p>
      <w:pPr>
        <w:numPr>
          <w:ilvl w:val="0"/>
          <w:numId w:val="1013"/>
        </w:numPr>
        <w:pStyle w:val="Compact"/>
      </w:pPr>
      <w:r>
        <w:rPr>
          <w:bCs/>
          <w:b/>
        </w:rPr>
        <w:t xml:space="preserve">Supplier Engagement:</w:t>
      </w:r>
      <w:r>
        <w:t xml:space="preserve"> </w:t>
      </w:r>
      <w:r>
        <w:t xml:space="preserve">Work with supply chain partners to improve their environmental performance, particularly for high-impact components and processes.</w:t>
      </w:r>
    </w:p>
    <w:bookmarkEnd w:id="44"/>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ugizmytkvh</dc:title>
  <dc:creator/>
  <dc:description>Detailed Product Carbon Footprint (PCF) analysis report for ugizmytkvh, conducted by Senior Sustainability Consultant ggpedsihfh for ryyvewnhsf, adhering to GHG Protocol standards and 2026 LSR updates.</dc:description>
  <dc:language>en</dc:language>
  <cp:keywords/>
  <dcterms:created xsi:type="dcterms:W3CDTF">2026-07-15T10:28:21Z</dcterms:created>
  <dcterms:modified xsi:type="dcterms:W3CDTF">2026-07-15T10:28:21Z</dcterms:modified>
</cp:coreProperties>
</file>

<file path=docProps/custom.xml><?xml version="1.0" encoding="utf-8"?>
<Properties xmlns="http://schemas.openxmlformats.org/officeDocument/2006/custom-properties" xmlns:vt="http://schemas.openxmlformats.org/officeDocument/2006/docPropsVTypes"/>
</file>