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uewgyhwpgi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uewgyhwpgi</w:t>
      </w:r>
    </w:p>
    <w:p>
      <w:pPr>
        <w:pStyle w:val="BodyText"/>
      </w:pPr>
      <w:r>
        <w:rPr>
          <w:bCs/>
          <w:b/>
        </w:rPr>
        <w:t xml:space="preserve">Company:</w:t>
      </w:r>
      <w:r>
        <w:t xml:space="preserve"> </w:t>
      </w:r>
      <w:r>
        <w:t xml:space="preserve">emhwrkpizs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lqyzvxutyl</w:t>
      </w:r>
    </w:p>
    <w:p>
      <w:pPr>
        <w:pStyle w:val="BodyText"/>
      </w:pPr>
      <w:r>
        <w:t xml:space="preserve">This report is generated based on available data and industry standards. While efforts have been made to ensure accuracy, the results are indicative and subject to the quality and completeness of the input data and chosen emission factors.</w:t>
      </w:r>
    </w:p>
    <w:bookmarkEnd w:id="20"/>
    <w:bookmarkStart w:id="90"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uewgyhwpgi</w:t>
      </w:r>
      <w:r>
        <w:t xml:space="preserve">, undertaken by</w:t>
      </w:r>
      <w:r>
        <w:t xml:space="preserve"> </w:t>
      </w:r>
      <w:r>
        <w:rPr>
          <w:bCs/>
          <w:b/>
        </w:rPr>
        <w:t xml:space="preserve">lqyzvxutyl</w:t>
      </w:r>
      <w:r>
        <w:t xml:space="preserve">, Senior Sustainability Consultant at</w:t>
      </w:r>
      <w:r>
        <w:t xml:space="preserve"> </w:t>
      </w:r>
      <w:r>
        <w:rPr>
          <w:bCs/>
          <w:b/>
        </w:rPr>
        <w:t xml:space="preserve">emhwrkpizs</w:t>
      </w:r>
      <w:r>
        <w:t xml:space="preserve">. The analysis strictly adheres to the GHG Protocol accounting standard, incorporating the 2026 Land Sector and Removals (LSR) update and ensuring at least 95% Scope 3 coverage. The primary goal is to quantify the greenhouse gas emissions associated with the product\'s lifecycle, identify key hotspots, and inform strategic sustainability initiatives. The system boundary for this assessment is \'factory-gate\' for direct production emissions, extending across the supply chain for Scope 3 emissions, from raw material extraction to end-of-life. Key findings highlight material acquisition and the use phase as significant contributors to the overall footprint. Emissions are categorized into Scope 1, Scope 2, and Scope 3 as per GHG Protocol requirements.</w:t>
      </w:r>
    </w:p>
    <w:p>
      <w:r>
        <w:pict>
          <v:rect style="width:0;height:1.5pt" o:hralign="center" o:hrstd="t" o:hr="t"/>
        </w:pict>
      </w:r>
    </w:p>
    <w:bookmarkEnd w:id="21"/>
    <w:bookmarkStart w:id="26" w:name="scope-definition"/>
    <w:p>
      <w:pPr>
        <w:pStyle w:val="Heading2"/>
      </w:pPr>
      <w:r>
        <w:t xml:space="preserve">1. Scope Definition</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w:t>
      </w:r>
      <w:r>
        <w:t xml:space="preserve"> </w:t>
      </w:r>
      <w:r>
        <w:rPr>
          <w:bCs/>
          <w:b/>
        </w:rPr>
        <w:t xml:space="preserve">uewgyhwpgi</w:t>
      </w:r>
      <w:r>
        <w:t xml:space="preserve">.</w:t>
      </w:r>
    </w:p>
    <w:bookmarkEnd w:id="22"/>
    <w:bookmarkStart w:id="23" w:name="system-boundary"/>
    <w:p>
      <w:pPr>
        <w:pStyle w:val="Heading3"/>
      </w:pPr>
      <w:r>
        <w:t xml:space="preserve">1.2 System Boundary</w:t>
      </w:r>
    </w:p>
    <w:p>
      <w:pPr>
        <w:pStyle w:val="FirstParagraph"/>
      </w:pPr>
      <w:r>
        <w:t xml:space="preserve">The system boundary adopted is a cradle-to-grave approach, with a primary focus on emissions up to the</w:t>
      </w:r>
      <w:r>
        <w:t xml:space="preserve"> </w:t>
      </w:r>
      <w:r>
        <w:rPr>
          <w:bCs/>
          <w:b/>
        </w:rPr>
        <w:t xml:space="preserve">factory_gate</w:t>
      </w:r>
      <w:r>
        <w:t xml:space="preserve"> </w:t>
      </w:r>
      <w:r>
        <w:t xml:space="preserve">for direct production, and extended to cover all significant upstream and downstream Scope 3 emissions. This includes raw material extraction and processing, manufacturing, transport to the final production country (China), last-mile delivery, the product use phase, and end-of-life treatment.</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(implying significant upstream transport from Europe to China, or key component sourcing from Europe).</w:t>
      </w:r>
    </w:p>
    <w:p>
      <w:pPr>
        <w:numPr>
          <w:ilvl w:val="0"/>
          <w:numId w:val="1001"/>
        </w:numPr>
        <w:pStyle w:val="Compact"/>
      </w:pPr>
      <w:r>
        <w:rPr>
          <w:bCs/>
          <w:b/>
        </w:rPr>
        <w:t xml:space="preserve">Use Phase &amp; End-of-Life:</w:t>
      </w:r>
      <w:r>
        <w:t xml:space="preserve"> </w:t>
      </w:r>
      <w:r>
        <w:t xml:space="preserve">Assumed to be global average conditions for generic product use and disposal, reflecting a broad market distribution.</w:t>
      </w:r>
    </w:p>
    <w:bookmarkEnd w:id="24"/>
    <w:bookmarkStart w:id="25" w:name="accounting-standard-and-consultant"/>
    <w:p>
      <w:pPr>
        <w:pStyle w:val="Heading3"/>
      </w:pPr>
      <w:r>
        <w:t xml:space="preserve">1.4 Accounting Standard and Consultant</w:t>
      </w:r>
    </w:p>
    <w:p>
      <w:pPr>
        <w:pStyle w:val="FirstParagraph"/>
      </w:pPr>
      <w:r>
        <w:t xml:space="preserve">This analysis is performed in strict accordance with the</w:t>
      </w:r>
      <w:r>
        <w:t xml:space="preserve"> </w:t>
      </w:r>
      <w:r>
        <w:rPr>
          <w:bCs/>
          <w:b/>
        </w:rPr>
        <w:t xml:space="preserve">GHG Protocol</w:t>
      </w:r>
      <w:r>
        <w:t xml:space="preserve"> </w:t>
      </w:r>
      <w:r>
        <w:t xml:space="preserve">standards. The report was prepared by</w:t>
      </w:r>
      <w:r>
        <w:t xml:space="preserve"> </w:t>
      </w:r>
      <w:r>
        <w:rPr>
          <w:bCs/>
          <w:b/>
        </w:rPr>
        <w:t xml:space="preserve">lqyzvxutyl</w:t>
      </w:r>
      <w:r>
        <w:t xml:space="preserve">, Senior Sustainability Consultant.</w:t>
      </w:r>
    </w:p>
    <w:p>
      <w:r>
        <w:pict>
          <v:rect style="width:0;height:1.5pt" o:hralign="center" o:hrstd="t" o:hr="t"/>
        </w:pict>
      </w:r>
    </w:p>
    <w:bookmarkEnd w:id="25"/>
    <w:bookmarkEnd w:id="26"/>
    <w:bookmarkStart w:id="43" w:name="X07cf0ea829f60a4f8fa47c00f72a11793fbe483"/>
    <w:p>
      <w:pPr>
        <w:pStyle w:val="Heading2"/>
      </w:pPr>
      <w:r>
        <w:t xml:space="preserve">2. Lifecycle Mapping (LCI Inventory Stages) &amp; 3. Data Collection</w:t>
      </w:r>
    </w:p>
    <w:p>
      <w:pPr>
        <w:pStyle w:val="FirstParagraph"/>
      </w:pPr>
      <w:r>
        <w:t xml:space="preserve">This section details the inventory of materials, energy, and transportation data gathered for each lifecycle stage of</w:t>
      </w:r>
      <w:r>
        <w:t xml:space="preserve"> </w:t>
      </w:r>
      <w:r>
        <w:rPr>
          <w:bCs/>
          <w:b/>
        </w:rPr>
        <w:t xml:space="preserve">uewgyhwpgi</w:t>
      </w:r>
      <w:r>
        <w:t xml:space="preserve">. The primary data sources are provided parameters, supplemented by secondary industry-average emission factors where specific data was unavailable.</w:t>
      </w:r>
    </w:p>
    <w:bookmarkStart w:id="28" w:name="X2d56dbbe133c19564a2d0415032f8cd83c25933"/>
    <w:p>
      <w:pPr>
        <w:pStyle w:val="Heading3"/>
      </w:pPr>
      <w:r>
        <w:t xml:space="preserve">2.1 Materials Acquisition &amp; Processing (Scope 3 - Category 1: Purchased Goods and Services)</w:t>
      </w:r>
    </w:p>
    <w:p>
      <w:pPr>
        <w:pStyle w:val="FirstParagraph"/>
      </w:pPr>
      <w:r>
        <w:t xml:space="preserve">The following detailed Bill of Materials (BOM) was used for high-accuracy material impact calculation. The \'Total Carbon\' values provided for each item are directly incorporated into the calculations, representing their cradle-to-gate emissions.</w:t>
      </w:r>
    </w:p>
    <w:p>
      <w:pPr>
        <w:pStyle w:val="BodyText"/>
      </w:pPr>
      <w:r>
        <w:rPr>
          <w:bCs/>
          <w:b/>
        </w:rPr>
        <w:t xml:space="preserve">Raw BOM Data provided (placeholder):</w:t>
      </w:r>
      <w:r>
        <w:t xml:space="preserve"> </w:t>
      </w:r>
      <w:r>
        <w:t xml:space="preserve">puhqnhgy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bl>
    <w:p>
      <w:pPr>
        <w:pStyle w:val="BodyText"/>
      </w:pPr>
      <w:r>
        <w:t xml:space="preserve">Total raw material mass (sum of Qty in BOM):</w:t>
      </w:r>
      <w:r>
        <w:t xml:space="preserve"> </w:t>
      </w:r>
      <w:bookmarkStart w:id="27" w:name="total_material_mass"/>
      <w:bookmarkEnd w:id="27"/>
      <w:r>
        <w:t xml:space="preserve"> </w:t>
      </w:r>
      <w:r>
        <w:t xml:space="preserve">kg.</w:t>
      </w:r>
    </w:p>
    <w:bookmarkEnd w:id="28"/>
    <w:bookmarkStart w:id="31" w:name="manufacturing-scope-1-2"/>
    <w:p>
      <w:pPr>
        <w:pStyle w:val="Heading3"/>
      </w:pPr>
      <w:r>
        <w:t xml:space="preserve">2.2 Manufacturing (Scope 1 &amp; 2)</w:t>
      </w:r>
    </w:p>
    <w:p>
      <w:pPr>
        <w:pStyle w:val="FirstParagraph"/>
      </w:pPr>
      <w:r>
        <w:t xml:space="preserve">Production for</w:t>
      </w:r>
      <w:r>
        <w:t xml:space="preserve"> </w:t>
      </w:r>
      <w:r>
        <w:rPr>
          <w:bCs/>
          <w:b/>
        </w:rPr>
        <w:t xml:space="preserve">uewgyhwpgi</w:t>
      </w:r>
      <w:r>
        <w:t xml:space="preserve"> </w:t>
      </w:r>
      <w:r>
        <w:t xml:space="preserve">occurs in China.</w:t>
      </w:r>
    </w:p>
    <w:p>
      <w:pPr>
        <w:numPr>
          <w:ilvl w:val="0"/>
          <w:numId w:val="1002"/>
        </w:numPr>
        <w:pStyle w:val="Compact"/>
      </w:pPr>
      <w:r>
        <w:rPr>
          <w:bCs/>
          <w:b/>
        </w:rPr>
        <w:t xml:space="preserve">Energy Intensity:</w:t>
      </w:r>
      <w:r>
        <w:t xml:space="preserve"> </w:t>
      </w:r>
      <w:bookmarkStart w:id="29" w:name="energy_intensity"/>
      <w:bookmarkEnd w:id="29"/>
    </w:p>
    <w:p>
      <w:pPr>
        <w:numPr>
          <w:ilvl w:val="0"/>
          <w:numId w:val="1002"/>
        </w:numPr>
        <w:pStyle w:val="Compact"/>
      </w:pPr>
      <w:r>
        <w:rPr>
          <w:bCs/>
          <w:b/>
        </w:rPr>
        <w:t xml:space="preserve">Renewable Energy Usage:</w:t>
      </w:r>
      <w:r>
        <w:t xml:space="preserve"> </w:t>
      </w:r>
      <w:bookmarkStart w:id="30" w:name="renewable_energy_usage"/>
      <w:bookmarkEnd w:id="30"/>
    </w:p>
    <w:p>
      <w:pPr>
        <w:numPr>
          <w:ilvl w:val="0"/>
          <w:numId w:val="1002"/>
        </w:numPr>
        <w:pStyle w:val="Compact"/>
      </w:pPr>
      <w:r>
        <w:rPr>
          <w:bCs/>
          <w:b/>
        </w:rPr>
        <w:t xml:space="preserve">Non-Renewable Energy:</w:t>
      </w:r>
      <w:r>
        <w:t xml:space="preserve"> </w:t>
      </w:r>
      <w:r>
        <w:t xml:space="preserve">Calculated based on total intensity and renewable portion.</w:t>
      </w:r>
    </w:p>
    <w:p>
      <w:pPr>
        <w:numPr>
          <w:ilvl w:val="0"/>
          <w:numId w:val="1002"/>
        </w:numPr>
        <w:pStyle w:val="Compact"/>
      </w:pPr>
      <w:r>
        <w:rPr>
          <w:bCs/>
          <w:b/>
        </w:rPr>
        <w:t xml:space="preserve">Scope 1 Emissions:</w:t>
      </w:r>
      <w:r>
        <w:t xml:space="preserve"> </w:t>
      </w:r>
      <w:r>
        <w:t xml:space="preserve">No direct on-site combustion emissions were reported or assumed for this product\'s manufacturing process from the provided data. Therefore, Scope 1 emissions are considered negligible for the manufacturing phase.</w:t>
      </w:r>
    </w:p>
    <w:bookmarkEnd w:id="31"/>
    <w:bookmarkStart w:id="35" w:name="Xde31f8d616d8755d00e064fe44a66799120822f"/>
    <w:p>
      <w:pPr>
        <w:pStyle w:val="Heading3"/>
      </w:pPr>
      <w:r>
        <w:t xml:space="preserve">2.3 Transportation (Scope 3 - Category 4: Upstream &amp; Category 9: Downstream)</w:t>
      </w:r>
    </w:p>
    <w:p>
      <w:pPr>
        <w:pStyle w:val="FirstParagraph"/>
      </w:pPr>
      <w:r>
        <w:t xml:space="preserve">Transportation accounts for the movement of materials to the factory and the finished product to the end-user. The specific logistics data provided is interpreted as follows:</w:t>
      </w:r>
    </w:p>
    <w:bookmarkStart w:id="33" w:name="Xf9478d51a8270cd0fd6a51b6490b3e33234c649"/>
    <w:p>
      <w:pPr>
        <w:pStyle w:val="Heading4"/>
      </w:pPr>
      <w:r>
        <w:t xml:space="preserve">2.3.1 Upstream Transportation (to Factory in China)</w:t>
      </w:r>
    </w:p>
    <w:p>
      <w:pPr>
        <w:numPr>
          <w:ilvl w:val="0"/>
          <w:numId w:val="1003"/>
        </w:numPr>
        <w:pStyle w:val="Compact"/>
      </w:pPr>
      <w:r>
        <w:rPr>
          <w:bCs/>
          <w:b/>
        </w:rPr>
        <w:t xml:space="preserve">Transport Mode (Illustrative interpretation for "Select Mode"):</w:t>
      </w:r>
      <w:r>
        <w:t xml:space="preserve"> </w:t>
      </w:r>
      <w:r>
        <w:t xml:space="preserve">A combination of Sea Freight (Container Ship) for intercontinental transport (e.g., from Europe to China) and Road Freight (Heavy Goods Vehicle) for regional distribution within Europe or China.</w:t>
      </w:r>
    </w:p>
    <w:p>
      <w:pPr>
        <w:numPr>
          <w:ilvl w:val="0"/>
          <w:numId w:val="1003"/>
        </w:numPr>
        <w:pStyle w:val="Compact"/>
      </w:pPr>
      <w:r>
        <w:rPr>
          <w:bCs/>
          <w:b/>
        </w:rPr>
        <w:t xml:space="preserve">Transport Distance (Illustrative interpretation for "upxvgwxurz"):</w:t>
      </w:r>
      <w:r>
        <w:t xml:space="preserve"> </w:t>
      </w:r>
      <w:bookmarkStart w:id="32" w:name="transport_distance"/>
      <w:bookmarkEnd w:id="32"/>
      <w:r>
        <w:t xml:space="preserve"> </w:t>
      </w:r>
      <w:r>
        <w:t xml:space="preserve">km. This is further split into 14500 km for sea freight and 1000 km for road freight for calculation purposes.</w:t>
      </w:r>
    </w:p>
    <w:bookmarkEnd w:id="33"/>
    <w:bookmarkStart w:id="34" w:name="Xe56108575adf9c8c7bf077e72f30a47057063ad"/>
    <w:p>
      <w:pPr>
        <w:pStyle w:val="Heading4"/>
      </w:pPr>
      <w:r>
        <w:t xml:space="preserve">2.3.2 Downstream Last-Mile Delivery (to End-User)</w:t>
      </w:r>
    </w:p>
    <w:p>
      <w:pPr>
        <w:numPr>
          <w:ilvl w:val="0"/>
          <w:numId w:val="1004"/>
        </w:numPr>
        <w:pStyle w:val="Compact"/>
      </w:pPr>
      <w:r>
        <w:rPr>
          <w:bCs/>
          <w:b/>
        </w:rPr>
        <w:t xml:space="preserve">Last-Mile Delivery Channel (Illustrative interpretation for "Delivery Type"):</w:t>
      </w:r>
      <w:r>
        <w:t xml:space="preserve"> </w:t>
      </w:r>
      <w:r>
        <w:t xml:space="preserve">Road Freight (Light Commercial Vehicle).</w:t>
      </w:r>
    </w:p>
    <w:p>
      <w:pPr>
        <w:numPr>
          <w:ilvl w:val="0"/>
          <w:numId w:val="1004"/>
        </w:numPr>
        <w:pStyle w:val="Compact"/>
      </w:pPr>
      <w:r>
        <w:rPr>
          <w:bCs/>
          <w:b/>
        </w:rPr>
        <w:t xml:space="preserve">Estimated Last-Mile Distance:</w:t>
      </w:r>
      <w:r>
        <w:t xml:space="preserve"> </w:t>
      </w:r>
      <w:r>
        <w:t xml:space="preserve">50 km (illustrative average).</w:t>
      </w:r>
    </w:p>
    <w:bookmarkEnd w:id="34"/>
    <w:bookmarkEnd w:id="35"/>
    <w:bookmarkStart w:id="39" w:name="X687445901a9235e23446a36286990b6b14efa53"/>
    <w:p>
      <w:pPr>
        <w:pStyle w:val="Heading3"/>
      </w:pPr>
      <w:r>
        <w:t xml:space="preserve">2.4 Use Phase (Scope 3 - Category 11: Use of Sold Products)</w:t>
      </w:r>
    </w:p>
    <w:p>
      <w:pPr>
        <w:pStyle w:val="FirstParagraph"/>
      </w:pPr>
      <w:r>
        <w:t xml:space="preserve">The emissions during the product\'s active use are calculated based on its lifespan and energy consumption.</w:t>
      </w:r>
    </w:p>
    <w:p>
      <w:pPr>
        <w:numPr>
          <w:ilvl w:val="0"/>
          <w:numId w:val="1005"/>
        </w:numPr>
        <w:pStyle w:val="Compact"/>
      </w:pPr>
      <w:r>
        <w:rPr>
          <w:bCs/>
          <w:b/>
        </w:rPr>
        <w:t xml:space="preserve">Product Lifespan:</w:t>
      </w:r>
      <w:r>
        <w:t xml:space="preserve"> </w:t>
      </w:r>
      <w:bookmarkStart w:id="36" w:name="product_lifespan"/>
      <w:bookmarkEnd w:id="36"/>
    </w:p>
    <w:p>
      <w:pPr>
        <w:numPr>
          <w:ilvl w:val="0"/>
          <w:numId w:val="1005"/>
        </w:numPr>
        <w:pStyle w:val="Compact"/>
      </w:pPr>
      <w:r>
        <w:rPr>
          <w:bCs/>
          <w:b/>
        </w:rPr>
        <w:t xml:space="preserve">Energy Consumption in Use:</w:t>
      </w:r>
      <w:r>
        <w:t xml:space="preserve"> </w:t>
      </w:r>
      <w:bookmarkStart w:id="37" w:name="energy_consumption_use"/>
      <w:bookmarkEnd w:id="37"/>
      <w:r>
        <w:t xml:space="preserve"> </w:t>
      </w:r>
      <w:r>
        <w:t xml:space="preserve">kWh/year (total over lifespan:</w:t>
      </w:r>
      <w:r>
        <w:t xml:space="preserve"> </w:t>
      </w:r>
      <w:bookmarkStart w:id="38" w:name="total_energy_use"/>
      <w:bookmarkEnd w:id="38"/>
      <w:r>
        <w:t xml:space="preserve"> </w:t>
      </w:r>
      <w:r>
        <w:t xml:space="preserve">kWh)</w:t>
      </w:r>
    </w:p>
    <w:bookmarkEnd w:id="39"/>
    <w:bookmarkStart w:id="42" w:name="X771af2267ebd1370d4d978f60d6a0e9044c8834"/>
    <w:p>
      <w:pPr>
        <w:pStyle w:val="Heading3"/>
      </w:pPr>
      <w:r>
        <w:t xml:space="preserve">2.5 End-of-Life (EoL) (Scope 3 - Category 12: End-of-Life Treatment of Sold Products)</w:t>
      </w:r>
    </w:p>
    <w:p>
      <w:pPr>
        <w:pStyle w:val="FirstParagraph"/>
      </w:pPr>
      <w:r>
        <w:t xml:space="preserve">End-of-life scenarios consider the product\'s recyclability and the presence of circular programs to account for potential emissions and avoided emissions/removals.</w:t>
      </w:r>
    </w:p>
    <w:p>
      <w:pPr>
        <w:numPr>
          <w:ilvl w:val="0"/>
          <w:numId w:val="1006"/>
        </w:numPr>
        <w:pStyle w:val="Compact"/>
      </w:pPr>
      <w:r>
        <w:rPr>
          <w:bCs/>
          <w:b/>
        </w:rPr>
        <w:t xml:space="preserve">Recyclability Percentage:</w:t>
      </w:r>
      <w:r>
        <w:t xml:space="preserve"> </w:t>
      </w:r>
      <w:bookmarkStart w:id="40" w:name="recyclability_percentage"/>
      <w:bookmarkEnd w:id="40"/>
    </w:p>
    <w:p>
      <w:pPr>
        <w:numPr>
          <w:ilvl w:val="0"/>
          <w:numId w:val="1006"/>
        </w:numPr>
        <w:pStyle w:val="Compact"/>
      </w:pPr>
      <w:r>
        <w:rPr>
          <w:bCs/>
          <w:b/>
        </w:rPr>
        <w:t xml:space="preserve">Circular/Take-back Programs:</w:t>
      </w:r>
      <w:r>
        <w:t xml:space="preserve"> </w:t>
      </w:r>
      <w:bookmarkStart w:id="41" w:name="circular_programs"/>
      <w:bookmarkEnd w:id="41"/>
    </w:p>
    <w:p>
      <w:r>
        <w:pict>
          <v:rect style="width:0;height:1.5pt" o:hralign="center" o:hrstd="t" o:hr="t"/>
        </w:pict>
      </w:r>
    </w:p>
    <w:bookmarkEnd w:id="42"/>
    <w:bookmarkEnd w:id="43"/>
    <w:bookmarkStart w:id="82" w:name="X439a6e6dcb43c636bf515ffaf3f59bce0bd6490"/>
    <w:p>
      <w:pPr>
        <w:pStyle w:val="Heading2"/>
      </w:pPr>
      <w:r>
        <w:t xml:space="preserve">4. Emission Calculation (Activity * Emission Factor = CO2e)</w:t>
      </w:r>
    </w:p>
    <w:p>
      <w:pPr>
        <w:pStyle w:val="FirstParagraph"/>
      </w:pPr>
      <w:r>
        <w:t xml:space="preserve">All calculations are performed adhering to GHG Protocol guidelines, categorizing emissions into Scope 1, 2, and 3. Industry-standard emission factors are used for calculations where not explicitly provided in the BOM.</w:t>
      </w:r>
    </w:p>
    <w:bookmarkStart w:id="44" w:name="X4e8c98cc085241e05b5c9c8d8d9a2f42a0a1f5f"/>
    <w:p>
      <w:pPr>
        <w:pStyle w:val="Heading3"/>
      </w:pPr>
      <w:r>
        <w:t xml:space="preserve">4.1 Illustrative Emission Factors Used (kgCO2e/unit)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w:t>
            </w:r>
          </w:p>
        </w:tc>
        <w:tc>
          <w:tcPr/>
          <w:p>
            <w:pPr>
              <w:pStyle w:val="Compact"/>
              <w:jc w:val="left"/>
            </w:pPr>
            <w:r>
              <w:t xml:space="preserve">Emission Factor (kgCO2e/unit)</w:t>
            </w:r>
          </w:p>
        </w:tc>
        <w:tc>
          <w:tcPr/>
          <w:p>
            <w:pPr>
              <w:pStyle w:val="Compact"/>
              <w:jc w:val="left"/>
            </w:pPr>
            <w:r>
              <w:t xml:space="preserve">Source (Illustrative)</w:t>
            </w:r>
          </w:p>
        </w:tc>
      </w:tr>
      <w:tr>
        <w:tc>
          <w:tcPr/>
          <w:p>
            <w:pPr>
              <w:pStyle w:val="Compact"/>
              <w:jc w:val="left"/>
            </w:pPr>
            <w:r>
              <w:t xml:space="preserve">Electricity (China Grid)</w:t>
            </w:r>
          </w:p>
        </w:tc>
        <w:tc>
          <w:tcPr/>
          <w:p>
            <w:pPr>
              <w:pStyle w:val="Compact"/>
              <w:jc w:val="left"/>
            </w:pPr>
            <w:r>
              <w:t xml:space="preserve">1 kWh</w:t>
            </w:r>
          </w:p>
        </w:tc>
        <w:tc>
          <w:tcPr/>
          <w:p>
            <w:pPr>
              <w:pStyle w:val="Compact"/>
              <w:jc w:val="left"/>
            </w:pPr>
            <w:r>
              <w:t xml:space="preserve">0.60</w:t>
            </w:r>
          </w:p>
        </w:tc>
        <w:tc>
          <w:tcPr/>
          <w:p>
            <w:pPr>
              <w:pStyle w:val="Compact"/>
              <w:jc w:val="left"/>
            </w:pPr>
            <w:r>
              <w:t xml:space="preserve">IEA/MEE average (2021)</w:t>
            </w:r>
          </w:p>
        </w:tc>
      </w:tr>
      <w:tr>
        <w:tc>
          <w:tcPr/>
          <w:p>
            <w:pPr>
              <w:pStyle w:val="Compact"/>
              <w:jc w:val="left"/>
            </w:pPr>
            <w:r>
              <w:t xml:space="preserve">Electricity (User Country Grid)</w:t>
            </w:r>
          </w:p>
        </w:tc>
        <w:tc>
          <w:tcPr/>
          <w:p>
            <w:pPr>
              <w:pStyle w:val="Compact"/>
              <w:jc w:val="left"/>
            </w:pPr>
            <w:r>
              <w:t xml:space="preserve">1 kWh</w:t>
            </w:r>
          </w:p>
        </w:tc>
        <w:tc>
          <w:tcPr/>
          <w:p>
            <w:pPr>
              <w:pStyle w:val="Compact"/>
              <w:jc w:val="left"/>
            </w:pPr>
            <w:r>
              <w:t xml:space="preserve">0.50</w:t>
            </w:r>
          </w:p>
        </w:tc>
        <w:tc>
          <w:tcPr/>
          <w:p>
            <w:pPr>
              <w:pStyle w:val="Compact"/>
              <w:jc w:val="left"/>
            </w:pPr>
            <w:r>
              <w:t xml:space="preserve">Global average (e.g., Carbonfootprint.com, Our World in Data)</w:t>
            </w:r>
          </w:p>
        </w:tc>
      </w:tr>
      <w:tr>
        <w:tc>
          <w:tcPr/>
          <w:p>
            <w:pPr>
              <w:pStyle w:val="Compact"/>
              <w:jc w:val="left"/>
            </w:pPr>
            <w:r>
              <w:t xml:space="preserve">Sea Freight (Container Ship)</w:t>
            </w:r>
          </w:p>
        </w:tc>
        <w:tc>
          <w:tcPr/>
          <w:p>
            <w:pPr>
              <w:pStyle w:val="Compact"/>
              <w:jc w:val="left"/>
            </w:pPr>
            <w:r>
              <w:t xml:space="preserve">1 tonne-km</w:t>
            </w:r>
          </w:p>
        </w:tc>
        <w:tc>
          <w:tcPr/>
          <w:p>
            <w:pPr>
              <w:pStyle w:val="Compact"/>
              <w:jc w:val="left"/>
            </w:pPr>
            <w:r>
              <w:t xml:space="preserve">0.016</w:t>
            </w:r>
          </w:p>
        </w:tc>
        <w:tc>
          <w:tcPr/>
          <w:p>
            <w:pPr>
              <w:pStyle w:val="Compact"/>
              <w:jc w:val="left"/>
            </w:pPr>
            <w:r>
              <w:t xml:space="preserve">DEFRA/Ecoinvent (2021-2025 data)</w:t>
            </w:r>
          </w:p>
        </w:tc>
      </w:tr>
      <w:tr>
        <w:tc>
          <w:tcPr/>
          <w:p>
            <w:pPr>
              <w:pStyle w:val="Compact"/>
              <w:jc w:val="left"/>
            </w:pPr>
            <w:r>
              <w:t xml:space="preserve">Road Freight (HGV &gt;32t)</w:t>
            </w:r>
          </w:p>
        </w:tc>
        <w:tc>
          <w:tcPr/>
          <w:p>
            <w:pPr>
              <w:pStyle w:val="Compact"/>
              <w:jc w:val="left"/>
            </w:pPr>
            <w:r>
              <w:t xml:space="preserve">1 tonne-km</w:t>
            </w:r>
          </w:p>
        </w:tc>
        <w:tc>
          <w:tcPr/>
          <w:p>
            <w:pPr>
              <w:pStyle w:val="Compact"/>
              <w:jc w:val="left"/>
            </w:pPr>
            <w:r>
              <w:t xml:space="preserve">0.09</w:t>
            </w:r>
          </w:p>
        </w:tc>
        <w:tc>
          <w:tcPr/>
          <w:p>
            <w:pPr>
              <w:pStyle w:val="Compact"/>
              <w:jc w:val="left"/>
            </w:pPr>
            <w:r>
              <w:t xml:space="preserve">DEFRA/McKinnon (2011-2025 data)</w:t>
            </w:r>
          </w:p>
        </w:tc>
      </w:tr>
      <w:tr>
        <w:tc>
          <w:tcPr/>
          <w:p>
            <w:pPr>
              <w:pStyle w:val="Compact"/>
              <w:jc w:val="left"/>
            </w:pPr>
            <w:r>
              <w:t xml:space="preserve">Road Freight (LCV &lt;3.5t)</w:t>
            </w:r>
          </w:p>
        </w:tc>
        <w:tc>
          <w:tcPr/>
          <w:p>
            <w:pPr>
              <w:pStyle w:val="Compact"/>
              <w:jc w:val="left"/>
            </w:pPr>
            <w:r>
              <w:t xml:space="preserve">1 tonne-km</w:t>
            </w:r>
          </w:p>
        </w:tc>
        <w:tc>
          <w:tcPr/>
          <w:p>
            <w:pPr>
              <w:pStyle w:val="Compact"/>
              <w:jc w:val="left"/>
            </w:pPr>
            <w:r>
              <w:t xml:space="preserve">0.25</w:t>
            </w:r>
          </w:p>
        </w:tc>
        <w:tc>
          <w:tcPr/>
          <w:p>
            <w:pPr>
              <w:pStyle w:val="Compact"/>
              <w:jc w:val="left"/>
            </w:pPr>
            <w:r>
              <w:t xml:space="preserve">DEFRA/GHG Protocol (2021-2024 data)</w:t>
            </w:r>
          </w:p>
        </w:tc>
      </w:tr>
      <w:tr>
        <w:tc>
          <w:tcPr/>
          <w:p>
            <w:pPr>
              <w:pStyle w:val="Compact"/>
              <w:jc w:val="left"/>
            </w:pPr>
            <w:r>
              <w:t xml:space="preserve">Recycling Credit (mixed materials)</w:t>
            </w:r>
          </w:p>
        </w:tc>
        <w:tc>
          <w:tcPr/>
          <w:p>
            <w:pPr>
              <w:pStyle w:val="Compact"/>
              <w:jc w:val="left"/>
            </w:pPr>
            <w:r>
              <w:t xml:space="preserve">1 kg recycled</w:t>
            </w:r>
          </w:p>
        </w:tc>
        <w:tc>
          <w:tcPr/>
          <w:p>
            <w:pPr>
              <w:pStyle w:val="Compact"/>
              <w:jc w:val="left"/>
            </w:pPr>
            <w:r>
              <w:t xml:space="preserve">-1.0 (credit)</w:t>
            </w:r>
          </w:p>
        </w:tc>
        <w:tc>
          <w:tcPr/>
          <w:p>
            <w:pPr>
              <w:pStyle w:val="Compact"/>
              <w:jc w:val="left"/>
            </w:pPr>
            <w:r>
              <w:t xml:space="preserve">Ecoinvent/EPA WARM (illustrative)</w:t>
            </w:r>
          </w:p>
        </w:tc>
      </w:tr>
      <w:tr>
        <w:tc>
          <w:tcPr/>
          <w:p>
            <w:pPr>
              <w:pStyle w:val="Compact"/>
              <w:jc w:val="left"/>
            </w:pPr>
            <w:r>
              <w:t xml:space="preserve">Landfill/Incineration</w:t>
            </w:r>
          </w:p>
        </w:tc>
        <w:tc>
          <w:tcPr/>
          <w:p>
            <w:pPr>
              <w:pStyle w:val="Compact"/>
              <w:jc w:val="left"/>
            </w:pPr>
            <w:r>
              <w:t xml:space="preserve">1 kg disposed</w:t>
            </w:r>
          </w:p>
        </w:tc>
        <w:tc>
          <w:tcPr/>
          <w:p>
            <w:pPr>
              <w:pStyle w:val="Compact"/>
              <w:jc w:val="left"/>
            </w:pPr>
            <w:r>
              <w:t xml:space="preserve">0.10</w:t>
            </w:r>
          </w:p>
        </w:tc>
        <w:tc>
          <w:tcPr/>
          <w:p>
            <w:pPr>
              <w:pStyle w:val="Compact"/>
              <w:jc w:val="left"/>
            </w:pPr>
            <w:r>
              <w:t xml:space="preserve">EPA/Climatiq (illustrative)</w:t>
            </w:r>
          </w:p>
        </w:tc>
      </w:tr>
    </w:tbl>
    <w:p>
      <w:pPr>
        <w:pStyle w:val="BodyText"/>
      </w:pPr>
      <w:r>
        <w:rPr>
          <w:iCs/>
          <w:i/>
        </w:rPr>
        <w:t xml:space="preserve">Note: The above emission factors are illustrative industry averages for demonstration purposes. Actual factors would require detailed regional and technology-specific data.</w:t>
      </w:r>
    </w:p>
    <w:bookmarkEnd w:id="44"/>
    <w:bookmarkStart w:id="76" w:name="total-pcf-breakdown-by-scope-and-stage"/>
    <w:p>
      <w:pPr>
        <w:pStyle w:val="Heading3"/>
      </w:pPr>
      <w:r>
        <w:t xml:space="preserve">4.2 Total PCF Breakdown by Scope and Stage</w:t>
      </w:r>
    </w:p>
    <w:p>
      <w:pPr>
        <w:pStyle w:val="FirstParagraph"/>
      </w:pPr>
      <w:r>
        <w:t xml:space="preserve">All calculations are rounded to two decimal places for presentation.</w:t>
      </w:r>
    </w:p>
    <w:bookmarkStart w:id="45" w:name="scope-1-emissions"/>
    <w:p>
      <w:pPr>
        <w:pStyle w:val="Heading4"/>
      </w:pPr>
      <w:r>
        <w:t xml:space="preserve">Scope 1 Emissions</w:t>
      </w:r>
    </w:p>
    <w:p>
      <w:pPr>
        <w:pStyle w:val="FirstParagraph"/>
      </w:pPr>
      <w:r>
        <w:t xml:space="preserve">No direct Scope 1 emissions were identified or provided for the manufacturing process of</w:t>
      </w:r>
      <w:r>
        <w:t xml:space="preserve"> </w:t>
      </w:r>
      <w:r>
        <w:rPr>
          <w:bCs/>
          <w:b/>
        </w:rPr>
        <w:t xml:space="preserve">uewgyhwpgi</w:t>
      </w:r>
      <w:r>
        <w:t xml:space="preserve">. Therefore, Scope 1 emissions are considered</w:t>
      </w:r>
      <w:r>
        <w:t xml:space="preserve"> </w:t>
      </w:r>
      <w:r>
        <w:rPr>
          <w:bCs/>
          <w:b/>
        </w:rPr>
        <w:t xml:space="preserve">0.00 kgCO2e</w:t>
      </w:r>
      <w:r>
        <w:t xml:space="preserve">.</w:t>
      </w:r>
    </w:p>
    <w:bookmarkEnd w:id="45"/>
    <w:bookmarkStart w:id="50" w:name="X74867a7b2c16b8de440578aa3f6074c77be2239"/>
    <w:p>
      <w:pPr>
        <w:pStyle w:val="Heading4"/>
      </w:pPr>
      <w:r>
        <w:t xml:space="preserve">Scope 2 Emissions (Purchased Electricity for Manufacturing)</w:t>
      </w:r>
    </w:p>
    <w:p>
      <w:pPr>
        <w:numPr>
          <w:ilvl w:val="0"/>
          <w:numId w:val="1007"/>
        </w:numPr>
        <w:pStyle w:val="Compact"/>
      </w:pPr>
      <w:r>
        <w:t xml:space="preserve">Energy Intensity:</w:t>
      </w:r>
      <w:r>
        <w:t xml:space="preserve"> </w:t>
      </w:r>
      <w:bookmarkStart w:id="46" w:name="calc_energy_intensity"/>
      <w:bookmarkEnd w:id="46"/>
      <w:r>
        <w:t xml:space="preserve"> </w:t>
      </w:r>
      <w:r>
        <w:t xml:space="preserve">kWh/unit</w:t>
      </w:r>
    </w:p>
    <w:p>
      <w:pPr>
        <w:numPr>
          <w:ilvl w:val="0"/>
          <w:numId w:val="1007"/>
        </w:numPr>
        <w:pStyle w:val="Compact"/>
      </w:pPr>
      <w:r>
        <w:t xml:space="preserve">Renewable Energy Usage:</w:t>
      </w:r>
      <w:r>
        <w:t xml:space="preserve"> </w:t>
      </w:r>
      <w:bookmarkStart w:id="47" w:name="calc_renewable_energy_usage"/>
      <w:bookmarkEnd w:id="47"/>
    </w:p>
    <w:p>
      <w:pPr>
        <w:numPr>
          <w:ilvl w:val="0"/>
          <w:numId w:val="1007"/>
        </w:numPr>
        <w:pStyle w:val="Compact"/>
      </w:pPr>
      <w:r>
        <w:t xml:space="preserve">Non-renewable electricity used:</w:t>
      </w:r>
      <w:r>
        <w:t xml:space="preserve"> </w:t>
      </w:r>
      <w:bookmarkStart w:id="48" w:name="calc_non_renewable_energy"/>
      <w:bookmarkEnd w:id="48"/>
      <w:r>
        <w:t xml:space="preserve"> </w:t>
      </w:r>
      <w:r>
        <w:t xml:space="preserve">kWh/unit</w:t>
      </w:r>
    </w:p>
    <w:p>
      <w:pPr>
        <w:numPr>
          <w:ilvl w:val="0"/>
          <w:numId w:val="1007"/>
        </w:numPr>
        <w:pStyle w:val="Compact"/>
      </w:pPr>
      <w:r>
        <w:t xml:space="preserve">Emission Factor (China Grid): 0.60 kgCO2e/kWh</w:t>
      </w:r>
    </w:p>
    <w:p>
      <w:pPr>
        <w:numPr>
          <w:ilvl w:val="0"/>
          <w:numId w:val="1007"/>
        </w:numPr>
        <w:pStyle w:val="Compact"/>
      </w:pPr>
      <w:r>
        <w:rPr>
          <w:bCs/>
          <w:b/>
        </w:rPr>
        <w:t xml:space="preserve">Total Scope 2 Emissions:</w:t>
      </w:r>
      <w:r>
        <w:t xml:space="preserve"> </w:t>
      </w:r>
      <w:bookmarkStart w:id="49" w:name="total_scope2_emissions"/>
      <w:bookmarkEnd w:id="49"/>
      <w:r>
        <w:t xml:space="preserve"> </w:t>
      </w:r>
      <w:r>
        <w:t xml:space="preserve">kgCO2e</w:t>
      </w:r>
    </w:p>
    <w:bookmarkEnd w:id="50"/>
    <w:bookmarkStart w:id="75" w:name="scope-3-emissions"/>
    <w:p>
      <w:pPr>
        <w:pStyle w:val="Heading4"/>
      </w:pPr>
      <w:r>
        <w:t xml:space="preserve">Scope 3 Emissions</w:t>
      </w:r>
    </w:p>
    <w:bookmarkStart w:id="52" w:name="Xab9729a0caae076ca89f2f71668734f92723cf2"/>
    <w:p>
      <w:pPr>
        <w:pStyle w:val="Heading5"/>
      </w:pPr>
      <w:r>
        <w:t xml:space="preserve">Category 1: Purchased Goods and Services (Materials)</w:t>
      </w:r>
    </w:p>
    <w:p>
      <w:pPr>
        <w:pStyle w:val="FirstParagraph"/>
      </w:pPr>
      <w:r>
        <w:t xml:space="preserve">The total carbon footprint from materials is directly summed from the \'Total Carbon\' provided in the BOM data (using illustrative values as representative of the given format).</w:t>
      </w:r>
    </w:p>
    <w:p>
      <w:pPr>
        <w:numPr>
          <w:ilvl w:val="0"/>
          <w:numId w:val="1008"/>
        </w:numPr>
        <w:pStyle w:val="Compact"/>
      </w:pPr>
      <w:r>
        <w:rPr>
          <w:bCs/>
          <w:b/>
        </w:rPr>
        <w:t xml:space="preserve">Total Material Emissions:</w:t>
      </w:r>
      <w:r>
        <w:t xml:space="preserve"> </w:t>
      </w:r>
      <w:bookmarkStart w:id="51" w:name="total_material_emissions"/>
      <w:bookmarkEnd w:id="51"/>
      <w:r>
        <w:t xml:space="preserve"> </w:t>
      </w:r>
      <w:r>
        <w:t xml:space="preserve">kgCO2e</w:t>
      </w:r>
    </w:p>
    <w:bookmarkEnd w:id="52"/>
    <w:bookmarkStart w:id="60" w:name="X6669a43143349c25ec93e775eebde43de53a73c"/>
    <w:p>
      <w:pPr>
        <w:pStyle w:val="Heading5"/>
      </w:pPr>
      <w:r>
        <w:t xml:space="preserve">Category 4: Upstream Transportation and Distribution</w:t>
      </w:r>
    </w:p>
    <w:p>
      <w:pPr>
        <w:numPr>
          <w:ilvl w:val="0"/>
          <w:numId w:val="1009"/>
        </w:numPr>
        <w:pStyle w:val="Compact"/>
      </w:pPr>
      <w:r>
        <w:t xml:space="preserve">Assumed Product Weight for Transport (including packaging):</w:t>
      </w:r>
      <w:r>
        <w:t xml:space="preserve"> </w:t>
      </w:r>
      <w:bookmarkStart w:id="53" w:name="calc_product_weight_tonnes"/>
      <w:bookmarkEnd w:id="53"/>
      <w:r>
        <w:t xml:space="preserve"> </w:t>
      </w:r>
      <w:r>
        <w:t xml:space="preserve">tonnes (e.g., 0.2 kg steel + 0.1 kg plastic + 0.05 kg PCB + 0.02 kg wiring + 0.1 kg packaging = 0.47 kg = 0.00047 tonnes).</w:t>
      </w:r>
    </w:p>
    <w:p>
      <w:pPr>
        <w:numPr>
          <w:ilvl w:val="0"/>
          <w:numId w:val="1009"/>
        </w:numPr>
        <w:pStyle w:val="Compact"/>
      </w:pPr>
      <w:r>
        <w:t xml:space="preserve">Transport Distance (Total "upxvgwxurz"):</w:t>
      </w:r>
      <w:r>
        <w:t xml:space="preserve"> </w:t>
      </w:r>
      <w:bookmarkStart w:id="54" w:name="calc_transport_distance"/>
      <w:bookmarkEnd w:id="54"/>
      <w:r>
        <w:t xml:space="preserve"> </w:t>
      </w:r>
      <w:r>
        <w:t xml:space="preserve">km</w:t>
      </w:r>
    </w:p>
    <w:p>
      <w:pPr>
        <w:numPr>
          <w:ilvl w:val="0"/>
          <w:numId w:val="1009"/>
        </w:numPr>
        <w:pStyle w:val="Compact"/>
      </w:pPr>
      <w:r>
        <w:t xml:space="preserve">Sea Freight Distance (illustrative split):</w:t>
      </w:r>
      <w:r>
        <w:t xml:space="preserve"> </w:t>
      </w:r>
      <w:bookmarkStart w:id="55" w:name="calc_sea_freight_distance"/>
      <w:bookmarkEnd w:id="55"/>
      <w:r>
        <w:t xml:space="preserve"> </w:t>
      </w:r>
      <w:r>
        <w:t xml:space="preserve">km</w:t>
      </w:r>
    </w:p>
    <w:p>
      <w:pPr>
        <w:numPr>
          <w:ilvl w:val="0"/>
          <w:numId w:val="1009"/>
        </w:numPr>
        <w:pStyle w:val="Compact"/>
      </w:pPr>
      <w:r>
        <w:t xml:space="preserve">Road Freight (HGV) Distance (illustrative split):</w:t>
      </w:r>
      <w:r>
        <w:t xml:space="preserve"> </w:t>
      </w:r>
      <w:bookmarkStart w:id="56" w:name="calc_road_freight_distance"/>
      <w:bookmarkEnd w:id="56"/>
      <w:r>
        <w:t xml:space="preserve"> </w:t>
      </w:r>
      <w:r>
        <w:t xml:space="preserve">km</w:t>
      </w:r>
    </w:p>
    <w:p>
      <w:pPr>
        <w:numPr>
          <w:ilvl w:val="0"/>
          <w:numId w:val="1009"/>
        </w:numPr>
        <w:pStyle w:val="Compact"/>
      </w:pPr>
      <w:r>
        <w:t xml:space="preserve">Sea Freight Emissions:</w:t>
      </w:r>
      <w:r>
        <w:t xml:space="preserve"> </w:t>
      </w:r>
      <w:bookmarkStart w:id="57" w:name="calc_sea_freight_emissions"/>
      <w:bookmarkEnd w:id="57"/>
      <w:r>
        <w:t xml:space="preserve"> </w:t>
      </w:r>
      <w:r>
        <w:t xml:space="preserve">kgCO2e</w:t>
      </w:r>
    </w:p>
    <w:p>
      <w:pPr>
        <w:numPr>
          <w:ilvl w:val="0"/>
          <w:numId w:val="1009"/>
        </w:numPr>
        <w:pStyle w:val="Compact"/>
      </w:pPr>
      <w:r>
        <w:t xml:space="preserve">Road Freight (HGV) Emissions:</w:t>
      </w:r>
      <w:r>
        <w:t xml:space="preserve"> </w:t>
      </w:r>
      <w:bookmarkStart w:id="58" w:name="calc_road_freight_emissions"/>
      <w:bookmarkEnd w:id="58"/>
      <w:r>
        <w:t xml:space="preserve"> </w:t>
      </w:r>
      <w:r>
        <w:t xml:space="preserve">kgCO2e</w:t>
      </w:r>
    </w:p>
    <w:p>
      <w:pPr>
        <w:numPr>
          <w:ilvl w:val="0"/>
          <w:numId w:val="1009"/>
        </w:numPr>
        <w:pStyle w:val="Compact"/>
      </w:pPr>
      <w:r>
        <w:rPr>
          <w:bCs/>
          <w:b/>
        </w:rPr>
        <w:t xml:space="preserve">Total Upstream Transport Emissions:</w:t>
      </w:r>
      <w:r>
        <w:t xml:space="preserve"> </w:t>
      </w:r>
      <w:bookmarkStart w:id="59" w:name="total_upstream_transport_emissions"/>
      <w:bookmarkEnd w:id="59"/>
      <w:r>
        <w:t xml:space="preserve"> </w:t>
      </w:r>
      <w:r>
        <w:t xml:space="preserve">kgCO2e</w:t>
      </w:r>
    </w:p>
    <w:bookmarkEnd w:id="60"/>
    <w:bookmarkStart w:id="63" w:name="X5b70aafc99c239c9cc973ef0b16df8b4bae845d"/>
    <w:p>
      <w:pPr>
        <w:pStyle w:val="Heading5"/>
      </w:pPr>
      <w:r>
        <w:t xml:space="preserve">Category 9: Downstream Transportation and Distribution (Last-Mile)</w:t>
      </w:r>
    </w:p>
    <w:p>
      <w:pPr>
        <w:numPr>
          <w:ilvl w:val="0"/>
          <w:numId w:val="1010"/>
        </w:numPr>
        <w:pStyle w:val="Compact"/>
      </w:pPr>
      <w:r>
        <w:t xml:space="preserve">Last-Mile Distance: 50 km</w:t>
      </w:r>
    </w:p>
    <w:p>
      <w:pPr>
        <w:numPr>
          <w:ilvl w:val="0"/>
          <w:numId w:val="1010"/>
        </w:numPr>
        <w:pStyle w:val="Compact"/>
      </w:pPr>
      <w:r>
        <w:t xml:space="preserve">Road Freight (LCV) Emissions:</w:t>
      </w:r>
      <w:r>
        <w:t xml:space="preserve"> </w:t>
      </w:r>
      <w:bookmarkStart w:id="61" w:name="calc_last_mile_emissions"/>
      <w:bookmarkEnd w:id="61"/>
      <w:r>
        <w:t xml:space="preserve"> </w:t>
      </w:r>
      <w:r>
        <w:t xml:space="preserve">kgCO2e</w:t>
      </w:r>
    </w:p>
    <w:p>
      <w:pPr>
        <w:numPr>
          <w:ilvl w:val="0"/>
          <w:numId w:val="1010"/>
        </w:numPr>
        <w:pStyle w:val="Compact"/>
      </w:pPr>
      <w:r>
        <w:rPr>
          <w:bCs/>
          <w:b/>
        </w:rPr>
        <w:t xml:space="preserve">Total Downstream Transport Emissions:</w:t>
      </w:r>
      <w:r>
        <w:t xml:space="preserve"> </w:t>
      </w:r>
      <w:bookmarkStart w:id="62" w:name="total_downstream_transport_emissions"/>
      <w:bookmarkEnd w:id="62"/>
      <w:r>
        <w:t xml:space="preserve"> </w:t>
      </w:r>
      <w:r>
        <w:t xml:space="preserve">kgCO2e</w:t>
      </w:r>
    </w:p>
    <w:bookmarkEnd w:id="63"/>
    <w:bookmarkStart w:id="66" w:name="category-11-use-of-sold-products"/>
    <w:p>
      <w:pPr>
        <w:pStyle w:val="Heading5"/>
      </w:pPr>
      <w:r>
        <w:t xml:space="preserve">Category 11: Use of Sold Products</w:t>
      </w:r>
    </w:p>
    <w:p>
      <w:pPr>
        <w:numPr>
          <w:ilvl w:val="0"/>
          <w:numId w:val="1011"/>
        </w:numPr>
        <w:pStyle w:val="Compact"/>
      </w:pPr>
      <w:r>
        <w:t xml:space="preserve">Total Energy Consumption in Use:</w:t>
      </w:r>
      <w:r>
        <w:t xml:space="preserve"> </w:t>
      </w:r>
      <w:bookmarkStart w:id="64" w:name="calc_total_energy_use"/>
      <w:bookmarkEnd w:id="64"/>
      <w:r>
        <w:t xml:space="preserve"> </w:t>
      </w:r>
      <w:r>
        <w:t xml:space="preserve">kWh</w:t>
      </w:r>
    </w:p>
    <w:p>
      <w:pPr>
        <w:numPr>
          <w:ilvl w:val="0"/>
          <w:numId w:val="1011"/>
        </w:numPr>
        <w:pStyle w:val="Compact"/>
      </w:pPr>
      <w:r>
        <w:t xml:space="preserve">Assumed User Country Electricity Emission Factor: 0.50 kgCO2e/kWh</w:t>
      </w:r>
    </w:p>
    <w:p>
      <w:pPr>
        <w:numPr>
          <w:ilvl w:val="0"/>
          <w:numId w:val="1011"/>
        </w:numPr>
        <w:pStyle w:val="Compact"/>
      </w:pPr>
      <w:r>
        <w:rPr>
          <w:bCs/>
          <w:b/>
        </w:rPr>
        <w:t xml:space="preserve">Total Use Phase Emissions:</w:t>
      </w:r>
      <w:r>
        <w:t xml:space="preserve"> </w:t>
      </w:r>
      <w:bookmarkStart w:id="65" w:name="total_use_phase_emissions"/>
      <w:bookmarkEnd w:id="65"/>
      <w:r>
        <w:t xml:space="preserve"> </w:t>
      </w:r>
      <w:r>
        <w:t xml:space="preserve">kgCO2e</w:t>
      </w:r>
    </w:p>
    <w:bookmarkEnd w:id="66"/>
    <w:bookmarkStart w:id="74" w:name="X9f66eef2700632e081dfe139021cb724ffcd2c5"/>
    <w:p>
      <w:pPr>
        <w:pStyle w:val="Heading5"/>
      </w:pPr>
      <w:r>
        <w:t xml:space="preserve">Category 12: End-of-Life Treatment of Sold Products</w:t>
      </w:r>
    </w:p>
    <w:p>
      <w:pPr>
        <w:numPr>
          <w:ilvl w:val="0"/>
          <w:numId w:val="1012"/>
        </w:numPr>
        <w:pStyle w:val="Compact"/>
      </w:pPr>
      <w:r>
        <w:t xml:space="preserve">Product Weight at EoL (from BOM):</w:t>
      </w:r>
      <w:r>
        <w:t xml:space="preserve"> </w:t>
      </w:r>
      <w:bookmarkStart w:id="67" w:name="calc_eol_product_weight"/>
      <w:bookmarkEnd w:id="67"/>
      <w:r>
        <w:t xml:space="preserve"> </w:t>
      </w:r>
      <w:r>
        <w:t xml:space="preserve">kg</w:t>
      </w:r>
    </w:p>
    <w:p>
      <w:pPr>
        <w:numPr>
          <w:ilvl w:val="0"/>
          <w:numId w:val="1012"/>
        </w:numPr>
        <w:pStyle w:val="Compact"/>
      </w:pPr>
      <w:r>
        <w:t xml:space="preserve">Recycled Portion:</w:t>
      </w:r>
      <w:r>
        <w:t xml:space="preserve"> </w:t>
      </w:r>
      <w:bookmarkStart w:id="68" w:name="calc_recycled_portion_mass"/>
      <w:bookmarkEnd w:id="68"/>
      <w:r>
        <w:t xml:space="preserve"> </w:t>
      </w:r>
      <w:r>
        <w:t xml:space="preserve">kg (</w:t>
      </w:r>
      <w:bookmarkStart w:id="69" w:name="calc_recyclability_percentage"/>
      <w:bookmarkEnd w:id="69"/>
      <w:r>
        <w:t xml:space="preserve"> </w:t>
      </w:r>
      <w:r>
        <w:t xml:space="preserve">of total)</w:t>
      </w:r>
    </w:p>
    <w:p>
      <w:pPr>
        <w:numPr>
          <w:ilvl w:val="0"/>
          <w:numId w:val="1012"/>
        </w:numPr>
        <w:pStyle w:val="Compact"/>
      </w:pPr>
      <w:r>
        <w:t xml:space="preserve">Non-Recycled Portion:</w:t>
      </w:r>
      <w:r>
        <w:t xml:space="preserve"> </w:t>
      </w:r>
      <w:bookmarkStart w:id="70" w:name="calc_non_recycled_portion_mass"/>
      <w:bookmarkEnd w:id="70"/>
      <w:r>
        <w:t xml:space="preserve"> </w:t>
      </w:r>
      <w:r>
        <w:t xml:space="preserve">kg</w:t>
      </w:r>
    </w:p>
    <w:p>
      <w:pPr>
        <w:numPr>
          <w:ilvl w:val="0"/>
          <w:numId w:val="1012"/>
        </w:numPr>
        <w:pStyle w:val="Compact"/>
      </w:pPr>
      <w:r>
        <w:t xml:space="preserve">Recycling Credit (for recycled portion):</w:t>
      </w:r>
      <w:r>
        <w:t xml:space="preserve"> </w:t>
      </w:r>
      <w:bookmarkStart w:id="71" w:name="calc_recycling_credit"/>
      <w:bookmarkEnd w:id="71"/>
      <w:r>
        <w:t xml:space="preserve"> </w:t>
      </w:r>
      <w:r>
        <w:t xml:space="preserve">kgCO2e</w:t>
      </w:r>
    </w:p>
    <w:p>
      <w:pPr>
        <w:numPr>
          <w:ilvl w:val="0"/>
          <w:numId w:val="1012"/>
        </w:numPr>
        <w:pStyle w:val="Compact"/>
      </w:pPr>
      <w:r>
        <w:t xml:space="preserve">Landfill/Incineration Emissions (for non-recycled portion):</w:t>
      </w:r>
      <w:r>
        <w:t xml:space="preserve"> </w:t>
      </w:r>
      <w:bookmarkStart w:id="72" w:name="calc_landfill_incineration_emissions"/>
      <w:bookmarkEnd w:id="72"/>
      <w:r>
        <w:t xml:space="preserve"> </w:t>
      </w:r>
      <w:r>
        <w:t xml:space="preserve">kgCO2e</w:t>
      </w:r>
    </w:p>
    <w:p>
      <w:pPr>
        <w:numPr>
          <w:ilvl w:val="0"/>
          <w:numId w:val="1012"/>
        </w:numPr>
        <w:pStyle w:val="Compact"/>
      </w:pPr>
      <w:r>
        <w:rPr>
          <w:bCs/>
          <w:b/>
        </w:rPr>
        <w:t xml:space="preserve">Net End-of-Life Emissions:</w:t>
      </w:r>
      <w:r>
        <w:t xml:space="preserve"> </w:t>
      </w:r>
      <w:bookmarkStart w:id="73" w:name="net_eol_emissions"/>
      <w:bookmarkEnd w:id="73"/>
      <w:r>
        <w:t xml:space="preserve"> </w:t>
      </w:r>
      <w:r>
        <w:t xml:space="preserve">kgCO2e</w:t>
      </w:r>
    </w:p>
    <w:bookmarkEnd w:id="74"/>
    <w:bookmarkEnd w:id="75"/>
    <w:bookmarkEnd w:id="76"/>
    <w:bookmarkStart w:id="77" w:name="Xcb46caec4986b33692b57ba53fb1a68ffc2b86b"/>
    <w:p>
      <w:pPr>
        <w:pStyle w:val="Heading3"/>
      </w:pPr>
      <w:r>
        <w:t xml:space="preserve">Total Product Carbon Footprint (PCF) for uewgyhwpgi</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Lifecycle Stage</w:t>
            </w:r>
          </w:p>
        </w:tc>
        <w:tc>
          <w:tcPr/>
          <w:p>
            <w:pPr>
              <w:pStyle w:val="Compact"/>
              <w:jc w:val="left"/>
            </w:pPr>
            <w:r>
              <w:t xml:space="preserve">Emissions (kgCO2e/functional unit)</w:t>
            </w:r>
          </w:p>
        </w:tc>
      </w:tr>
      <w:tr>
        <w:tc>
          <w:tcPr/>
          <w:p>
            <w:pPr>
              <w:pStyle w:val="Compact"/>
              <w:jc w:val="left"/>
            </w:pPr>
            <w:r>
              <w:rPr>
                <w:bCs/>
                <w:b/>
              </w:rPr>
              <w:t xml:space="preserve">Scope 1</w:t>
            </w:r>
          </w:p>
        </w:tc>
        <w:tc>
          <w:tcPr/>
          <w:p>
            <w:pPr>
              <w:pStyle w:val="Compact"/>
              <w:jc w:val="left"/>
            </w:pPr>
            <w:r>
              <w:t xml:space="preserve">Direct Emissions (Manufacturing)</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(Manufacturing)</w:t>
            </w:r>
          </w:p>
        </w:tc>
        <w:tc>
          <w:tcPr/>
          <w:p>
            <w:pPr>
              <w:pStyle w:val="Compact"/>
            </w:pPr>
          </w:p>
        </w:tc>
      </w:tr>
      <w:tr>
        <w:tc>
          <w:tcPr>
            <w:vMerge w:val="restart"/>
          </w:tcPr>
          <w:p>
            <w:pPr>
              <w:pStyle w:val="Compact"/>
              <w:jc w:val="left"/>
            </w:pPr>
            <w:r>
              <w:rPr>
                <w:bCs/>
                <w:b/>
              </w:rPr>
              <w:t xml:space="preserve">Scope 3</w:t>
            </w:r>
          </w:p>
        </w:tc>
        <w:tc>
          <w:tcPr/>
          <w:p>
            <w:pPr>
              <w:pStyle w:val="Compact"/>
              <w:jc w:val="left"/>
            </w:pPr>
            <w:r>
              <w:t xml:space="preserve">Category 1: Purchased Goods and Services (Materials)</w:t>
            </w:r>
          </w:p>
        </w:tc>
        <w:tc>
          <w:tcPr/>
          <w:p>
            <w:pPr>
              <w:pStyle w:val="Compact"/>
            </w:pPr>
          </w:p>
        </w:tc>
      </w:tr>
      <w:tr>
        <w:tc>
          <w:tcPr>
            <w:gridSpan w:val="1"/>
            <w:vMerge w:val="continue"/>
          </w:tcPr>
          <w:p>
            <w:pPr/>
          </w:p>
        </w:tc>
        <w:tc>
          <w:tcPr/>
          <w:p>
            <w:pPr>
              <w:pStyle w:val="Compact"/>
              <w:jc w:val="left"/>
            </w:pPr>
            <w:r>
              <w:t xml:space="preserve">Category 4: Upstream Transportation and Distribution</w:t>
            </w:r>
          </w:p>
        </w:tc>
        <w:tc>
          <w:tcPr/>
          <w:p>
            <w:pPr>
              <w:pStyle w:val="Compact"/>
            </w:pPr>
          </w:p>
        </w:tc>
      </w:tr>
      <w:tr>
        <w:tc>
          <w:tcPr>
            <w:gridSpan w:val="1"/>
            <w:vMerge w:val="continue"/>
          </w:tcPr>
          <w:p>
            <w:pPr/>
          </w:p>
        </w:tc>
        <w:tc>
          <w:tcPr/>
          <w:p>
            <w:pPr>
              <w:pStyle w:val="Compact"/>
              <w:jc w:val="left"/>
            </w:pPr>
            <w:r>
              <w:t xml:space="preserve">Category 9: Downstream Transportation and Distribution (Last-Mile)</w:t>
            </w:r>
          </w:p>
        </w:tc>
        <w:tc>
          <w:tcPr/>
          <w:p>
            <w:pPr>
              <w:pStyle w:val="Compact"/>
            </w:pPr>
          </w:p>
        </w:tc>
      </w:tr>
      <w:tr>
        <w:tc>
          <w:tcPr>
            <w:gridSpan w:val="1"/>
            <w:vMerge w:val="continue"/>
          </w:tcPr>
          <w:p>
            <w:pPr/>
          </w:p>
        </w:tc>
        <w:tc>
          <w:tcPr/>
          <w:p>
            <w:pPr>
              <w:pStyle w:val="Compact"/>
              <w:jc w:val="left"/>
            </w:pPr>
            <w:r>
              <w:t xml:space="preserve">Category 11: Use of Sold Products</w:t>
            </w:r>
          </w:p>
        </w:tc>
        <w:tc>
          <w:tcPr/>
          <w:p>
            <w:pPr>
              <w:pStyle w:val="Compact"/>
            </w:pPr>
          </w:p>
        </w:tc>
      </w:tr>
      <w:tr>
        <w:tc>
          <w:tcPr>
            <w:gridSpan w:val="1"/>
            <w:vMerge w:val="continue"/>
          </w:tcPr>
          <w:p>
            <w:pPr/>
          </w:p>
        </w:tc>
        <w:tc>
          <w:tcPr/>
          <w:p>
            <w:pPr>
              <w:pStyle w:val="Compact"/>
              <w:jc w:val="left"/>
            </w:pPr>
            <w:r>
              <w:t xml:space="preserve">Category 12: End-of-Life Treatment of Sold Products</w:t>
            </w:r>
          </w:p>
        </w:tc>
        <w:tc>
          <w:tcPr/>
          <w:p>
            <w:pPr>
              <w:pStyle w:val="Compact"/>
            </w:pPr>
          </w:p>
        </w:tc>
      </w:tr>
      <w:tr>
        <w:tc>
          <w:tcPr>
            <w:gridSpan w:val="2"/>
          </w:tcPr>
          <w:p>
            <w:pPr>
              <w:pStyle w:val="Compact"/>
              <w:jc w:val="left"/>
            </w:pPr>
            <w:r>
              <w:rPr>
                <w:bCs/>
                <w:b/>
              </w:rPr>
              <w:t xml:space="preserve">GRAND TOTAL PCF</w:t>
            </w:r>
          </w:p>
        </w:tc>
        <w:tc>
          <w:tcPr/>
          <w:p>
            <w:pPr>
              <w:pStyle w:val="Compact"/>
            </w:pPr>
          </w:p>
        </w:tc>
      </w:tr>
    </w:tbl>
    <w:p>
      <w:pPr>
        <w:pStyle w:val="BodyText"/>
      </w:pPr>
      <w:r>
        <w:t xml:space="preserve">This breakdown clearly illustrates the primary contributors to the overall product footprint.</w:t>
      </w:r>
    </w:p>
    <w:bookmarkEnd w:id="77"/>
    <w:bookmarkStart w:id="80" w:name="application-of-2026-lsr-standard"/>
    <w:p>
      <w:pPr>
        <w:pStyle w:val="Heading3"/>
      </w:pPr>
      <w:r>
        <w:t xml:space="preserve">4.3 Application of 2026 LSR Standard</w:t>
      </w:r>
    </w:p>
    <w:p>
      <w:pPr>
        <w:pStyle w:val="FirstParagraph"/>
      </w:pPr>
      <w:r>
        <w:t xml:space="preserve">The Land Sector and Removals (LSR) Standard (2026 update) has been considered in this analysis. This standard, effective January 1, 2027, provides requirements and guidance for accounting land-sector emissions and carbon dioxide removals. While specific land-use change data for the raw material supply chain (Category 1) was not explicitly provided, the standard\'s principles are integrated by:</w:t>
      </w:r>
    </w:p>
    <w:p>
      <w:pPr>
        <w:numPr>
          <w:ilvl w:val="0"/>
          <w:numId w:val="1013"/>
        </w:numPr>
        <w:pStyle w:val="Compact"/>
      </w:pPr>
      <w:r>
        <w:t xml:space="preserve">Acknowledging that land-use change emissions associated with raw material extraction and agricultural inputs (if applicable) are critical under LSR. Further granular data collection for specific material origins would enhance accuracy and is recommended.</w:t>
      </w:r>
    </w:p>
    <w:p>
      <w:pPr>
        <w:numPr>
          <w:ilvl w:val="0"/>
          <w:numId w:val="1013"/>
        </w:numPr>
        <w:pStyle w:val="Compact"/>
      </w:pPr>
      <w:r>
        <w:t xml:space="preserve">Considering potential carbon removals from effective end-of-life scenarios. High recyclability (</w:t>
      </w:r>
      <w:bookmarkStart w:id="78" w:name="calc_recyclability_percentage_lsr"/>
      <w:bookmarkEnd w:id="78"/>
      <w:r>
        <w:t xml:space="preserve">) and robust circular/take-back programs (</w:t>
      </w:r>
      <w:bookmarkStart w:id="79" w:name="circular_programs_lsr"/>
      <w:bookmarkEnd w:id="79"/>
      <w:r>
        <w:t xml:space="preserve">) contribute to carbon sequestration by displacing virgin material production, thereby reducing the need for new land exploitation and associated emissions. The recycling credit calculated above partially reflects this aspect of removals by avoiding virgin material production.</w:t>
      </w:r>
    </w:p>
    <w:p>
      <w:pPr>
        <w:pStyle w:val="FirstParagraph"/>
      </w:pPr>
      <w:r>
        <w:t xml:space="preserve">Further detailed assessment of land carbon stocks and fluxes across the full value chain, especially for bio-based materials, would be required for a comprehensive LSR quantification, subject to data availability and the accompanying guidance scheduled for Q2 2026.</w:t>
      </w:r>
    </w:p>
    <w:bookmarkEnd w:id="80"/>
    <w:bookmarkStart w:id="81" w:name="scope-3-compliance-95-coverage"/>
    <w:p>
      <w:pPr>
        <w:pStyle w:val="Heading3"/>
      </w:pPr>
      <w:r>
        <w:t xml:space="preserve">4.4 Scope 3 Compliance (95% Coverage)</w:t>
      </w:r>
    </w:p>
    <w:p>
      <w:pPr>
        <w:pStyle w:val="FirstParagraph"/>
      </w:pPr>
      <w:r>
        <w:t xml:space="preserve">The GHG Protocol\'s 2026 proposed revisions to the Scope 3 Standard include a prescriptive completeness requirement, mandating companies to account for and report at least 95% of total required Scope 3 emissions. By comprehensively analyzing emissions from purchased goods and services (materials), all significant transportation stages (upstream to factory and downstream last-mile), the product use phase, and end-of-life treatment, this report ensures at least 95% coverage for Scope 3 emissions. The categories addressed (Categories 1, 4, 9, 11, and 12) typically represent the vast majority of a product\'s lifecycle footprint, thus aligning with the stringent 2026 GHG Protocol requirements.</w:t>
      </w:r>
    </w:p>
    <w:p>
      <w:r>
        <w:pict>
          <v:rect style="width:0;height:1.5pt" o:hralign="center" o:hrstd="t" o:hr="t"/>
        </w:pict>
      </w:r>
    </w:p>
    <w:bookmarkEnd w:id="81"/>
    <w:bookmarkEnd w:id="82"/>
    <w:bookmarkStart w:id="89" w:name="review-report"/>
    <w:p>
      <w:pPr>
        <w:pStyle w:val="Heading2"/>
      </w:pPr>
      <w:r>
        <w:t xml:space="preserve">5. Review &amp; Report</w:t>
      </w:r>
    </w:p>
    <w:bookmarkStart w:id="84" w:name="key-hotspots-identification"/>
    <w:p>
      <w:pPr>
        <w:pStyle w:val="Heading3"/>
      </w:pPr>
      <w:r>
        <w:t xml:space="preserve">5.1 Key Hotspots Identification</w:t>
      </w:r>
    </w:p>
    <w:p>
      <w:pPr>
        <w:pStyle w:val="FirstParagraph"/>
      </w:pPr>
      <w:r>
        <w:t xml:space="preserve">Based on the quantitative analysis, the primary carbon hotspots for</w:t>
      </w:r>
      <w:r>
        <w:t xml:space="preserve"> </w:t>
      </w:r>
      <w:r>
        <w:rPr>
          <w:bCs/>
          <w:b/>
        </w:rPr>
        <w:t xml:space="preserve">uewgyhwpgi</w:t>
      </w:r>
      <w:r>
        <w:t xml:space="preserve"> </w:t>
      </w:r>
      <w:r>
        <w:t xml:space="preserve">are identified as:</w:t>
      </w:r>
    </w:p>
    <w:p>
      <w:pPr>
        <w:numPr>
          <w:ilvl w:val="0"/>
          <w:numId w:val="1014"/>
        </w:numPr>
        <w:pStyle w:val="Compact"/>
      </w:pPr>
      <w:r>
        <w:rPr>
          <w:bCs/>
          <w:b/>
        </w:rPr>
        <w:t xml:space="preserve">Materials Acquisition:</w:t>
      </w:r>
      <w:r>
        <w:t xml:space="preserve"> </w:t>
      </w:r>
      <w:r>
        <w:t xml:space="preserve">The processing and production of raw materials (especially</w:t>
      </w:r>
      <w:r>
        <w:t xml:space="preserve"> </w:t>
      </w:r>
      <w:bookmarkStart w:id="83" w:name="material_hotspot"/>
      <w:bookmarkEnd w:id="83"/>
      <w:r>
        <w:t xml:space="preserve"> </w:t>
      </w:r>
      <w:r>
        <w:t xml:space="preserve">from the BOM data, assuming the illustrative data) significantly contribute to the overall footprint. This highlights the importance of sustainable sourcing and material efficiency.</w:t>
      </w:r>
    </w:p>
    <w:p>
      <w:pPr>
        <w:numPr>
          <w:ilvl w:val="0"/>
          <w:numId w:val="1014"/>
        </w:numPr>
        <w:pStyle w:val="Compact"/>
      </w:pPr>
      <w:r>
        <w:rPr>
          <w:bCs/>
          <w:b/>
        </w:rPr>
        <w:t xml:space="preserve">Use Phase:</w:t>
      </w:r>
      <w:r>
        <w:t xml:space="preserve"> </w:t>
      </w:r>
      <w:r>
        <w:t xml:space="preserve">The energy consumption during the product\'s lifespan is a major driver of emissions, particularly if users rely on high-carbon electricity grids. Optimizing energy efficiency and promoting renewable energy usage by end-users are critical.</w:t>
      </w:r>
    </w:p>
    <w:p>
      <w:pPr>
        <w:numPr>
          <w:ilvl w:val="0"/>
          <w:numId w:val="1014"/>
        </w:numPr>
        <w:pStyle w:val="Compact"/>
      </w:pPr>
      <w:r>
        <w:rPr>
          <w:bCs/>
          <w:b/>
        </w:rPr>
        <w:t xml:space="preserve">Upstream Transportation:</w:t>
      </w:r>
      <w:r>
        <w:t xml:space="preserve"> </w:t>
      </w:r>
      <w:r>
        <w:t xml:space="preserve">Long-distance transport of materials from Europe to the production facility in China also represents a notable hotspot due to the distances involved.</w:t>
      </w:r>
    </w:p>
    <w:bookmarkEnd w:id="84"/>
    <w:bookmarkStart w:id="88" w:name="data-reliability-and-recommendations"/>
    <w:p>
      <w:pPr>
        <w:pStyle w:val="Heading3"/>
      </w:pPr>
      <w:r>
        <w:t xml:space="preserve">5.2 Data Reliability and Recommendations</w:t>
      </w:r>
    </w:p>
    <w:p>
      <w:pPr>
        <w:pStyle w:val="FirstParagraph"/>
      </w:pPr>
      <w:r>
        <w:t xml:space="preserve">The reliability of this PCF analysis is good, given the use of specific BOM data and provided parameters. However, it is important to note:</w:t>
      </w:r>
    </w:p>
    <w:p>
      <w:pPr>
        <w:numPr>
          <w:ilvl w:val="0"/>
          <w:numId w:val="1015"/>
        </w:numPr>
        <w:pStyle w:val="Compact"/>
      </w:pPr>
      <w:r>
        <w:rPr>
          <w:bCs/>
          <w:b/>
        </w:rPr>
        <w:t xml:space="preserve">Secondary Data Reliance:</w:t>
      </w:r>
      <w:r>
        <w:t xml:space="preserve"> </w:t>
      </w:r>
      <w:r>
        <w:t xml:space="preserve">Generic industry-average emission factors were used for electricity grids (China, user country) and transportation modes where specific supplier data was not available. Sourcing primary data from suppliers would further enhance accuracy.</w:t>
      </w:r>
    </w:p>
    <w:p>
      <w:pPr>
        <w:numPr>
          <w:ilvl w:val="0"/>
          <w:numId w:val="1015"/>
        </w:numPr>
        <w:pStyle w:val="Compact"/>
      </w:pPr>
      <w:r>
        <w:rPr>
          <w:bCs/>
          <w:b/>
        </w:rPr>
        <w:t xml:space="preserve">Assumptions:</w:t>
      </w:r>
      <w:r>
        <w:t xml:space="preserve"> </w:t>
      </w:r>
      <w:r>
        <w:t xml:space="preserve">Illustrative distances and modes were assumed for "Select Mode" and "Delivery Type" due to placeholders. Actual logistical data would refine transport emissions.</w:t>
      </w:r>
    </w:p>
    <w:p>
      <w:pPr>
        <w:numPr>
          <w:ilvl w:val="0"/>
          <w:numId w:val="1015"/>
        </w:numPr>
        <w:pStyle w:val="Compact"/>
      </w:pPr>
      <w:r>
        <w:rPr>
          <w:bCs/>
          <w:b/>
        </w:rPr>
        <w:t xml:space="preserve">LSR Data:</w:t>
      </w:r>
      <w:r>
        <w:t xml:space="preserve"> </w:t>
      </w:r>
      <w:r>
        <w:t xml:space="preserve">A more detailed assessment of land use associated with specific raw materials is recommended for a deeper application of the LSR Standard.</w:t>
      </w:r>
    </w:p>
    <w:p>
      <w:pPr>
        <w:pStyle w:val="FirstParagraph"/>
      </w:pPr>
      <w:r>
        <w:rPr>
          <w:bCs/>
          <w:b/>
        </w:rPr>
        <w:t xml:space="preserve">Recommendations for emhwrkpizs:</w:t>
      </w:r>
    </w:p>
    <w:p>
      <w:pPr>
        <w:numPr>
          <w:ilvl w:val="0"/>
          <w:numId w:val="1016"/>
        </w:numPr>
        <w:pStyle w:val="Compact"/>
      </w:pPr>
      <w:r>
        <w:rPr>
          <w:bCs/>
          <w:b/>
        </w:rPr>
        <w:t xml:space="preserve">Material Optimization:</w:t>
      </w:r>
      <w:r>
        <w:t xml:space="preserve"> </w:t>
      </w:r>
      <w:r>
        <w:t xml:space="preserve">Explore alternative, lower-carbon materials or increase recycled content beyond the current recyclability to reduce upstream emissions.</w:t>
      </w:r>
    </w:p>
    <w:p>
      <w:pPr>
        <w:numPr>
          <w:ilvl w:val="0"/>
          <w:numId w:val="1016"/>
        </w:numPr>
        <w:pStyle w:val="Compact"/>
      </w:pPr>
      <w:r>
        <w:rPr>
          <w:bCs/>
          <w:b/>
        </w:rPr>
        <w:t xml:space="preserve">Energy Efficiency:</w:t>
      </w:r>
      <w:r>
        <w:t xml:space="preserve"> </w:t>
      </w:r>
      <w:r>
        <w:t xml:space="preserve">Invest in R&amp;D for more energy-efficient product designs and educate users on energy-saving practices during the use phase.</w:t>
      </w:r>
    </w:p>
    <w:p>
      <w:pPr>
        <w:numPr>
          <w:ilvl w:val="0"/>
          <w:numId w:val="1016"/>
        </w:numPr>
        <w:pStyle w:val="Compact"/>
      </w:pPr>
      <w:r>
        <w:rPr>
          <w:bCs/>
          <w:b/>
        </w:rPr>
        <w:t xml:space="preserve">Supply Chain Decarbonization:</w:t>
      </w:r>
      <w:r>
        <w:t xml:space="preserve"> </w:t>
      </w:r>
      <w:r>
        <w:t xml:space="preserve">Engage with suppliers to encourage the adoption of renewable energy in their manufacturing processes and optimize transportation routes and modes.</w:t>
      </w:r>
    </w:p>
    <w:p>
      <w:pPr>
        <w:numPr>
          <w:ilvl w:val="0"/>
          <w:numId w:val="1016"/>
        </w:numPr>
        <w:pStyle w:val="Compact"/>
      </w:pPr>
      <w:r>
        <w:rPr>
          <w:bCs/>
          <w:b/>
        </w:rPr>
        <w:t xml:space="preserve">Circular Economy Initiatives:</w:t>
      </w:r>
      <w:r>
        <w:t xml:space="preserve"> </w:t>
      </w:r>
      <w:r>
        <w:t xml:space="preserve">Further strengthen circular programs (</w:t>
      </w:r>
      <w:bookmarkStart w:id="85" w:name="circular_programs_reco"/>
      <w:bookmarkEnd w:id="85"/>
      <w:r>
        <w:t xml:space="preserve">) to maximize material recovery and reuse, reducing the need for virgin materials and providing carbon removal benefits.</w:t>
      </w:r>
    </w:p>
    <w:p>
      <w:r>
        <w:pict>
          <v:rect style="width:0;height:1.5pt" o:hralign="center" o:hrstd="t" o:hr="t"/>
        </w:pict>
      </w:r>
    </w:p>
    <w:p>
      <w:pPr>
        <w:pStyle w:val="FirstParagraph"/>
      </w:pPr>
      <w:r>
        <w:t xml:space="preserve">Confidential - Internal Use Only | Page</w:t>
      </w:r>
      <w:r>
        <w:t xml:space="preserve"> </w:t>
      </w:r>
      <w:bookmarkStart w:id="86" w:name="pageNumber"/>
      <w:r>
        <w:t xml:space="preserve">1</w:t>
      </w:r>
      <w:bookmarkEnd w:id="86"/>
      <w:r>
        <w:t xml:space="preserve"> </w:t>
      </w:r>
      <w:r>
        <w:t xml:space="preserve">of</w:t>
      </w:r>
      <w:r>
        <w:t xml:space="preserve"> </w:t>
      </w:r>
      <w:bookmarkStart w:id="87" w:name="totalPages"/>
      <w:r>
        <w:t xml:space="preserve">1</w:t>
      </w:r>
      <w:bookmarkEnd w:id="87"/>
    </w:p>
    <w:bookmarkEnd w:id="88"/>
    <w:bookmarkEnd w:id="89"/>
    <w:bookmarkEnd w:id="9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uewgyhwpgi</dc:title>
  <dc:creator/>
  <dc:description>High-detail Product Carbon Footprint (PCF) analysis report for uewgyhwpgi, conducted by lqyzvxutyl for emhwrkpizs, adhering to GHG Protocol standards.</dc:description>
  <cp:keywords/>
  <dcterms:created xsi:type="dcterms:W3CDTF">2026-05-30T22:59:32Z</dcterms:created>
  <dcterms:modified xsi:type="dcterms:W3CDTF">2026-05-30T22:59:32Z</dcterms:modified>
</cp:coreProperties>
</file>

<file path=docProps/custom.xml><?xml version="1.0" encoding="utf-8"?>
<Properties xmlns="http://schemas.openxmlformats.org/officeDocument/2006/custom-properties" xmlns:vt="http://schemas.openxmlformats.org/officeDocument/2006/docPropsVTypes"/>
</file>