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uegwottstd</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uegwottstd</w:t>
      </w:r>
    </w:p>
    <w:p>
      <w:pPr>
        <w:pStyle w:val="BodyText"/>
      </w:pPr>
      <w:r>
        <w:br/>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gjpoopjdqi</w:t>
      </w:r>
    </w:p>
    <w:p>
      <w:pPr>
        <w:pStyle w:val="BodyText"/>
      </w:pPr>
      <w:r>
        <w:rPr>
          <w:bCs/>
          <w:b/>
        </w:rPr>
        <w:t xml:space="preserve">Senior Sustainability Consultant:</w:t>
      </w:r>
      <w:r>
        <w:t xml:space="preserve"> </w:t>
      </w:r>
      <w:r>
        <w:t xml:space="preserve">uzuzmsqxhe</w:t>
      </w:r>
    </w:p>
    <w:p>
      <w:pPr>
        <w:pStyle w:val="BodyText"/>
      </w:pPr>
      <w:r>
        <w:br/>
      </w:r>
      <w:r>
        <w:br/>
      </w:r>
    </w:p>
    <w:p>
      <w:pPr>
        <w:pStyle w:val="BodyText"/>
      </w:pPr>
      <w:r>
        <w:t xml:space="preserve">Disclaimer: This report is generated based on available data, specified parameters, and industry standards. While efforts have been made for accuracy, real-world data collection and specific operational details may yield different results.</w:t>
      </w:r>
    </w:p>
    <w:bookmarkEnd w:id="20"/>
    <w:p>
      <w:pPr>
        <w:pStyle w:val="BodyText"/>
      </w:pPr>
      <w:r>
        <w:t xml:space="preserve">Generated Date: June 4, 2026</w:t>
      </w:r>
    </w:p>
    <w:bookmarkStart w:id="46" w:name="executive-summary"/>
    <w:p>
      <w:pPr>
        <w:pStyle w:val="Heading1"/>
      </w:pPr>
      <w:r>
        <w:t xml:space="preserve">Executive Summary</w:t>
      </w:r>
    </w:p>
    <w:p>
      <w:r>
        <w:pict>
          <v:rect style="width:0;height:1.5pt" o:hralign="center" o:hrstd="t" o:hr="t"/>
        </w:pict>
      </w:r>
    </w:p>
    <w:p>
      <w:pPr>
        <w:pStyle w:val="FirstParagraph"/>
      </w:pPr>
      <w:r>
        <w:t xml:space="preserve">This report presents a high-detail Product Carbon Footprint (PCF) analysis for the product</w:t>
      </w:r>
      <w:r>
        <w:t xml:space="preserve"> </w:t>
      </w:r>
      <w:r>
        <w:rPr>
          <w:bCs/>
          <w:b/>
        </w:rPr>
        <w:t xml:space="preserve">uegwottstd</w:t>
      </w:r>
      <w:r>
        <w:t xml:space="preserve">, manufactured by</w:t>
      </w:r>
      <w:r>
        <w:t xml:space="preserve"> </w:t>
      </w:r>
      <w:r>
        <w:rPr>
          <w:bCs/>
          <w:b/>
        </w:rPr>
        <w:t xml:space="preserve">gjpoopjdqi</w:t>
      </w:r>
      <w:r>
        <w:t xml:space="preserve">. As Senior Sustainability Consultant</w:t>
      </w:r>
      <w:r>
        <w:t xml:space="preserve"> </w:t>
      </w:r>
      <w:r>
        <w:rPr>
          <w:bCs/>
          <w:b/>
        </w:rPr>
        <w:t xml:space="preserve">uzuzmsqxhe</w:t>
      </w:r>
      <w:r>
        <w:t xml:space="preserve">, this analysis adheres strictly to the GHG Protocol and incorporates the latest 2026 Land Sector and Removals (LSR) Standard where applicable, aiming for at least 95% Scope 3 coverage. The PCF is calculated for a functional unit of 1.0 unit, covering a factory-gate system boundary with a global supply chain focusing on Europe. Key insights highlight material sourcing, production energy, product usage, and end-of-life impacts as significant contributors to the overall footprint.</w:t>
      </w:r>
    </w:p>
    <w:bookmarkStart w:id="26" w:name="methodology-and-scope-definition"/>
    <w:p>
      <w:pPr>
        <w:pStyle w:val="Heading2"/>
      </w:pPr>
      <w:r>
        <w:t xml:space="preserve">1. Methodology and Scope Definition</w:t>
      </w:r>
    </w:p>
    <w:p>
      <w:r>
        <w:pict>
          <v:rect style="width:0;height:1.5pt" o:hralign="center" o:hrstd="t" o:hr="t"/>
        </w:pict>
      </w:r>
    </w:p>
    <w:bookmarkStart w:id="21"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uegwottstd. This unit serves as the reference basis for quantifying all environmental inputs and outputs throughout its lifecycle.</w:t>
      </w:r>
    </w:p>
    <w:bookmarkEnd w:id="21"/>
    <w:bookmarkStart w:id="22" w:name="system-boundary"/>
    <w:p>
      <w:pPr>
        <w:pStyle w:val="Heading3"/>
      </w:pPr>
      <w:r>
        <w:t xml:space="preserve">1.2 System Boundary</w:t>
      </w:r>
    </w:p>
    <w:p>
      <w:pPr>
        <w:pStyle w:val="FirstParagraph"/>
      </w:pPr>
      <w:r>
        <w:t xml:space="preserve">The system boundary for this assessment is set at</w:t>
      </w:r>
      <w:r>
        <w:t xml:space="preserve"> </w:t>
      </w:r>
      <w:r>
        <w:rPr>
          <w:bCs/>
          <w:b/>
        </w:rPr>
        <w:t xml:space="preserve">factory_gate</w:t>
      </w:r>
      <w:r>
        <w:t xml:space="preserve">. This encompasses all relevant activities from raw material extraction and processing, through manufacturing processes, to the point where the finished product leaves the factory gate. Downstream emissions (use phase and end-of-life) are also included in the analysis as per GHG Protocol Scope 3 requirements.</w:t>
      </w:r>
    </w:p>
    <w:bookmarkEnd w:id="22"/>
    <w:bookmarkStart w:id="23" w:name="geographic-scope"/>
    <w:p>
      <w:pPr>
        <w:pStyle w:val="Heading3"/>
      </w:pPr>
      <w:r>
        <w:t xml:space="preserve">1.3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while the final assembly occurs in China, significant upstream material and component sourcing, as well as downstream distribution and use, may have a strong European emphasis.</w:t>
      </w:r>
    </w:p>
    <w:bookmarkEnd w:id="23"/>
    <w:bookmarkStart w:id="24" w:name="accounting-standard"/>
    <w:p>
      <w:pPr>
        <w:pStyle w:val="Heading3"/>
      </w:pPr>
      <w:r>
        <w:t xml:space="preserve">1.4 Accounting Standard</w:t>
      </w:r>
    </w:p>
    <w:p>
      <w:pPr>
        <w:pStyle w:val="FirstParagraph"/>
      </w:pPr>
      <w:r>
        <w:t xml:space="preserve">This PCF analysis is conducted in strict accordance with the</w:t>
      </w:r>
      <w:r>
        <w:t xml:space="preserve"> </w:t>
      </w:r>
      <w:r>
        <w:rPr>
          <w:bCs/>
          <w:b/>
        </w:rPr>
        <w:t xml:space="preserve">GHG Protocol</w:t>
      </w:r>
      <w:r>
        <w:t xml:space="preserve">, ensuring comprehensive and standardized reporting of greenhouse gas emissions. Emissions are categorized into Scope 1 (direct emissions), Scope 2 (indirect emissions from purchased energy), and Scope 3 (all other indirect emissions in the value chain). Furthermore, the analysis considers the principles of the 2026 Land Sector and Removals (LSR) Standard for land use and carbon removals, although specific quantifiable data for LSR was not provided within the parameters, its conceptual application is acknowledged.</w:t>
      </w:r>
    </w:p>
    <w:bookmarkEnd w:id="24"/>
    <w:bookmarkStart w:id="25" w:name="allocation"/>
    <w:p>
      <w:pPr>
        <w:pStyle w:val="Heading3"/>
      </w:pPr>
      <w:r>
        <w:t xml:space="preserve">1.5 Allocation</w:t>
      </w:r>
    </w:p>
    <w:p>
      <w:pPr>
        <w:pStyle w:val="FirstParagraph"/>
      </w:pPr>
      <w:r>
        <w:t xml:space="preserve">Emissions are allocated directly to the functional unit based on mass and energy flows throughout the product lifecycle. Where shared processes occur, allocation is performed using scientifically sound principles to ensure representativeness and avoid double-counting.</w:t>
      </w:r>
    </w:p>
    <w:bookmarkEnd w:id="25"/>
    <w:bookmarkEnd w:id="26"/>
    <w:bookmarkStart w:id="32" w:name="Xfb19d101eca9f89879e43a035837baa721eebe8"/>
    <w:p>
      <w:pPr>
        <w:pStyle w:val="Heading2"/>
      </w:pPr>
      <w:r>
        <w:t xml:space="preserve">2. &amp; 3. Lifecycle Inventory Mapping and Data Collection</w:t>
      </w:r>
    </w:p>
    <w:p>
      <w:r>
        <w:pict>
          <v:rect style="width:0;height:1.5pt" o:hralign="center" o:hrstd="t" o:hr="t"/>
        </w:pict>
      </w:r>
    </w:p>
    <w:p>
      <w:pPr>
        <w:pStyle w:val="FirstParagraph"/>
      </w:pPr>
      <w:r>
        <w:t xml:space="preserve">The lifecycle of uegwottstd has been mapped across key stages, and relevant primary and secondary data points have been collected for an accurate inventory. Due to the placeholder nature of some input parameters, illustrative numerical values have been assumed for calculation purposes, with a clear note that actual numerical inputs would be used in a real-world scenario.</w:t>
      </w:r>
    </w:p>
    <w:bookmarkStart w:id="27" w:name="Xe93f10fd72a6d2e0473ce1be37e0db769255188"/>
    <w:p>
      <w:pPr>
        <w:pStyle w:val="Heading3"/>
      </w:pPr>
      <w:r>
        <w:t xml:space="preserve">2.1 Material Inputs (Scope 3, Category 1: Purchased Goods and Services)</w:t>
      </w:r>
    </w:p>
    <w:p>
      <w:pPr>
        <w:pStyle w:val="FirstParagraph"/>
      </w:pPr>
      <w:r>
        <w:t xml:space="preserve">The Detailed Bill of Materials (BOM) for uegwottstd provides a comprehensive breakdown of constituent materials. As per the instructions, the \'Total Carbon\' value provided for each BOM item is used directly for material impact calculation. The total product weight (sum of quantities from BOM) is assumed to be 5.45 kg for subsequent calculations.</w:t>
      </w:r>
    </w:p>
    <w:p>
      <w:pPr>
        <w:pStyle w:val="BodyText"/>
      </w:pPr>
      <w:r>
        <w:rPr>
          <w:bCs/>
          <w:b/>
        </w:rPr>
        <w:t xml:space="preserve">Illustrative Detailed Bill of Materials (BOM) Data (based on ipyjdyzz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12.50</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 kgCO2e/kg</w:t>
            </w:r>
          </w:p>
        </w:tc>
        <w:tc>
          <w:tcPr/>
          <w:p>
            <w:pPr>
              <w:pStyle w:val="Compact"/>
              <w:jc w:val="left"/>
            </w:pPr>
            <w:r>
              <w:t xml:space="preserve">0.64</w:t>
            </w:r>
          </w:p>
        </w:tc>
      </w:tr>
      <w:tr>
        <w:tc>
          <w:tcPr/>
          <w:p>
            <w:pPr>
              <w:pStyle w:val="Compact"/>
              <w:jc w:val="left"/>
            </w:pPr>
            <w:r>
              <w:t xml:space="preserve">MAT-003</w:t>
            </w:r>
          </w:p>
        </w:tc>
        <w:tc>
          <w:tcPr/>
          <w:p>
            <w:pPr>
              <w:pStyle w:val="Compact"/>
              <w:jc w:val="left"/>
            </w:pPr>
            <w:r>
              <w:t xml:space="preserve">Electronic Components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 kgCO2e/unit</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 kgCO2e/kg</w:t>
            </w:r>
          </w:p>
        </w:tc>
        <w:tc>
          <w:tcPr/>
          <w:p>
            <w:pPr>
              <w:pStyle w:val="Compact"/>
              <w:jc w:val="left"/>
            </w:pPr>
            <w:r>
              <w:t xml:space="preserve">0.12</w:t>
            </w:r>
          </w:p>
        </w:tc>
      </w:tr>
    </w:tbl>
    <w:p>
      <w:pPr>
        <w:pStyle w:val="BodyText"/>
      </w:pPr>
      <w:r>
        <w:rPr>
          <w:bCs/>
          <w:b/>
        </w:rPr>
        <w:t xml:space="preserve">Total Material Carbon Footprint:</w:t>
      </w:r>
      <w:r>
        <w:t xml:space="preserve"> </w:t>
      </w:r>
      <w:r>
        <w:t xml:space="preserve">14.26 kgCO2e</w:t>
      </w:r>
    </w:p>
    <w:bookmarkEnd w:id="27"/>
    <w:bookmarkStart w:id="28" w:name="Xb779381514c529b7120371d64e54a1377f55c20"/>
    <w:p>
      <w:pPr>
        <w:pStyle w:val="Heading3"/>
      </w:pPr>
      <w:r>
        <w:t xml:space="preserve">2.2 Production Energy Inputs (Scope 2: Purchased Energy)</w:t>
      </w:r>
    </w:p>
    <w:p>
      <w:pPr>
        <w:pStyle w:val="FirstParagraph"/>
      </w:pPr>
      <w:r>
        <w:t xml:space="preserve">Production takes place in China. The following energy customization data has been incorporated:</w:t>
      </w:r>
    </w:p>
    <w:p>
      <w:pPr>
        <w:numPr>
          <w:ilvl w:val="0"/>
          <w:numId w:val="1001"/>
        </w:numPr>
        <w:pStyle w:val="Compact"/>
      </w:pPr>
      <w:r>
        <w:rPr>
          <w:bCs/>
          <w:b/>
        </w:rPr>
        <w:t xml:space="preserve">Energy Intensity (ddvhwxvkpy):</w:t>
      </w:r>
      <w:r>
        <w:t xml:space="preserve"> </w:t>
      </w:r>
      <w:r>
        <w:t xml:space="preserve">10.5 kWh/unit (Assumed numerical value).</w:t>
      </w:r>
    </w:p>
    <w:p>
      <w:pPr>
        <w:numPr>
          <w:ilvl w:val="0"/>
          <w:numId w:val="1001"/>
        </w:numPr>
        <w:pStyle w:val="Compact"/>
      </w:pPr>
      <w:r>
        <w:rPr>
          <w:bCs/>
          <w:b/>
        </w:rPr>
        <w:t xml:space="preserve">Renewable Energy Usage (mykggftyig):</w:t>
      </w:r>
      <w:r>
        <w:t xml:space="preserve"> </w:t>
      </w:r>
      <w:r>
        <w:t xml:space="preserve">75% (Assumed numerical value).</w:t>
      </w:r>
    </w:p>
    <w:p>
      <w:pPr>
        <w:numPr>
          <w:ilvl w:val="0"/>
          <w:numId w:val="1001"/>
        </w:numPr>
        <w:pStyle w:val="Compact"/>
      </w:pPr>
      <w:r>
        <w:rPr>
          <w:bCs/>
          <w:b/>
        </w:rPr>
        <w:t xml:space="preserve">China Grid Emission Factor:</w:t>
      </w:r>
      <w:r>
        <w:t xml:space="preserve"> </w:t>
      </w:r>
      <w:r>
        <w:t xml:space="preserve">0.6205 kgCO2e/kWh (for 2023).</w:t>
      </w:r>
    </w:p>
    <w:bookmarkEnd w:id="28"/>
    <w:bookmarkStart w:id="29" w:name="X62f536e446050dc53752dd8254b511011a79874"/>
    <w:p>
      <w:pPr>
        <w:pStyle w:val="Heading3"/>
      </w:pPr>
      <w:r>
        <w:t xml:space="preserve">2.3 Transport Logistics (Scope 3, Category 4 &amp; 9: Transportation and Distribution)</w:t>
      </w:r>
    </w:p>
    <w:p>
      <w:pPr>
        <w:pStyle w:val="FirstParagraph"/>
      </w:pPr>
      <w:r>
        <w:t xml:space="preserve">Logistics data accounts for both primary transport in the supply chain (e.g., components from Europe to China, or finished goods from China to Europe) and last-mile delivery.</w:t>
      </w:r>
    </w:p>
    <w:p>
      <w:pPr>
        <w:numPr>
          <w:ilvl w:val="0"/>
          <w:numId w:val="1002"/>
        </w:numPr>
        <w:pStyle w:val="Compact"/>
      </w:pPr>
      <w:r>
        <w:rPr>
          <w:bCs/>
          <w:b/>
        </w:rPr>
        <w:t xml:space="preserve">Primary Transport Mode (Select Mode):</w:t>
      </w:r>
      <w:r>
        <w:t xml:space="preserve"> </w:t>
      </w:r>
      <w:r>
        <w:t xml:space="preserve">Road Freight (Heavy Goods Vehicle - HGV).</w:t>
      </w:r>
    </w:p>
    <w:p>
      <w:pPr>
        <w:numPr>
          <w:ilvl w:val="0"/>
          <w:numId w:val="1002"/>
        </w:numPr>
        <w:pStyle w:val="Compact"/>
      </w:pPr>
      <w:r>
        <w:rPr>
          <w:bCs/>
          <w:b/>
        </w:rPr>
        <w:t xml:space="preserve">Primary Transport Distance (yytjuntnyg):</w:t>
      </w:r>
      <w:r>
        <w:t xml:space="preserve"> </w:t>
      </w:r>
      <w:r>
        <w:t xml:space="preserve">1500 km (Assumed numerical value).</w:t>
      </w:r>
    </w:p>
    <w:p>
      <w:pPr>
        <w:numPr>
          <w:ilvl w:val="0"/>
          <w:numId w:val="1002"/>
        </w:numPr>
        <w:pStyle w:val="Compact"/>
      </w:pPr>
      <w:r>
        <w:rPr>
          <w:bCs/>
          <w:b/>
        </w:rPr>
        <w:t xml:space="preserve">Last-Mile Delivery Channel (Delivery Type):</w:t>
      </w:r>
      <w:r>
        <w:t xml:space="preserve"> </w:t>
      </w:r>
      <w:r>
        <w:t xml:space="preserve">Van Delivery.</w:t>
      </w:r>
    </w:p>
    <w:p>
      <w:pPr>
        <w:numPr>
          <w:ilvl w:val="0"/>
          <w:numId w:val="1002"/>
        </w:numPr>
        <w:pStyle w:val="Compact"/>
      </w:pPr>
      <w:r>
        <w:rPr>
          <w:bCs/>
          <w:b/>
        </w:rPr>
        <w:t xml:space="preserve">Last-Mile Delivery Distance:</w:t>
      </w:r>
      <w:r>
        <w:t xml:space="preserve"> </w:t>
      </w:r>
      <w:r>
        <w:t xml:space="preserve">50 km (Assumed, as specific distance for \'Delivery Type\' was not provided in yytjuntnyg).</w:t>
      </w:r>
    </w:p>
    <w:p>
      <w:pPr>
        <w:numPr>
          <w:ilvl w:val="0"/>
          <w:numId w:val="1002"/>
        </w:numPr>
        <w:pStyle w:val="Compact"/>
      </w:pPr>
      <w:r>
        <w:rPr>
          <w:bCs/>
          <w:b/>
        </w:rPr>
        <w:t xml:space="preserve">Road Freight Emission Factor:</w:t>
      </w:r>
      <w:r>
        <w:t xml:space="preserve"> </w:t>
      </w:r>
      <w:r>
        <w:t xml:space="preserve">0.105 kgCO2e/tkm for long-haul heavy trucks.</w:t>
      </w:r>
    </w:p>
    <w:p>
      <w:pPr>
        <w:numPr>
          <w:ilvl w:val="0"/>
          <w:numId w:val="1002"/>
        </w:numPr>
        <w:pStyle w:val="Compact"/>
      </w:pPr>
      <w:r>
        <w:rPr>
          <w:bCs/>
          <w:b/>
        </w:rPr>
        <w:t xml:space="preserve">Van Delivery Emission Factor:</w:t>
      </w:r>
      <w:r>
        <w:t xml:space="preserve"> </w:t>
      </w:r>
      <w:r>
        <w:t xml:space="preserve">0.000105 kgCO2e/kg/km (derived from 0.21kg CO2e for 1000 km for a 2kg package).</w:t>
      </w:r>
    </w:p>
    <w:p>
      <w:pPr>
        <w:numPr>
          <w:ilvl w:val="0"/>
          <w:numId w:val="1002"/>
        </w:numPr>
        <w:pStyle w:val="Compact"/>
      </w:pPr>
      <w:r>
        <w:rPr>
          <w:bCs/>
          <w:b/>
        </w:rPr>
        <w:t xml:space="preserve">Product Weight for Transport:</w:t>
      </w:r>
      <w:r>
        <w:t xml:space="preserve"> </w:t>
      </w:r>
      <w:r>
        <w:t xml:space="preserve">5.45 kg (sum of BOM quantities).</w:t>
      </w:r>
    </w:p>
    <w:bookmarkEnd w:id="29"/>
    <w:bookmarkStart w:id="30" w:name="Xd716dd6c6e12b3821df04435b34981ebdc9715f"/>
    <w:p>
      <w:pPr>
        <w:pStyle w:val="Heading3"/>
      </w:pPr>
      <w:r>
        <w:t xml:space="preserve">2.4 Use Phase Durability and Consumption (Scope 3, Category 11: Use of Sold Products)</w:t>
      </w:r>
    </w:p>
    <w:p>
      <w:pPr>
        <w:pStyle w:val="FirstParagraph"/>
      </w:pPr>
      <w:r>
        <w:t xml:space="preserve">The use phase is critical for the product\'s overall footprint, considering its operational energy consumption.</w:t>
      </w:r>
    </w:p>
    <w:p>
      <w:pPr>
        <w:numPr>
          <w:ilvl w:val="0"/>
          <w:numId w:val="1003"/>
        </w:numPr>
        <w:pStyle w:val="Compact"/>
      </w:pPr>
      <w:r>
        <w:rPr>
          <w:bCs/>
          <w:b/>
        </w:rPr>
        <w:t xml:space="preserve">Product Lifespan (vxdfrnzsgi):</w:t>
      </w:r>
      <w:r>
        <w:t xml:space="preserve"> </w:t>
      </w:r>
      <w:r>
        <w:t xml:space="preserve">7 years (Assumed numerical value).</w:t>
      </w:r>
    </w:p>
    <w:p>
      <w:pPr>
        <w:numPr>
          <w:ilvl w:val="0"/>
          <w:numId w:val="1003"/>
        </w:numPr>
        <w:pStyle w:val="Compact"/>
      </w:pPr>
      <w:r>
        <w:rPr>
          <w:bCs/>
          <w:b/>
        </w:rPr>
        <w:t xml:space="preserve">Energy Consumption in Use (mzhtjesszy):</w:t>
      </w:r>
      <w:r>
        <w:t xml:space="preserve"> </w:t>
      </w:r>
      <w:r>
        <w:t xml:space="preserve">250 kWh (Total energy over lifespan, assumed numerical value).</w:t>
      </w:r>
    </w:p>
    <w:p>
      <w:pPr>
        <w:numPr>
          <w:ilvl w:val="0"/>
          <w:numId w:val="1003"/>
        </w:numPr>
        <w:pStyle w:val="Compact"/>
      </w:pPr>
      <w:r>
        <w:rPr>
          <w:bCs/>
          <w:b/>
        </w:rPr>
        <w:t xml:space="preserve">European Grid Emission Factor:</w:t>
      </w:r>
      <w:r>
        <w:t xml:space="preserve"> </w:t>
      </w:r>
      <w:r>
        <w:t xml:space="preserve">0.181 kgCO2/kWh (average for 2024 from leading producers). This is used as the \'Supply Chain Focus: Europe Focused\' implies the use phase electricity grid in Europe.</w:t>
      </w:r>
    </w:p>
    <w:bookmarkEnd w:id="30"/>
    <w:bookmarkStart w:id="31" w:name="Xcf636533499fdeef515c790d3f31fd657b27f19"/>
    <w:p>
      <w:pPr>
        <w:pStyle w:val="Heading3"/>
      </w:pPr>
      <w:r>
        <w:t xml:space="preserve">2.5 End-of-Life Scenarios (Scope 3, Category 12: End-of-Life Treatment of Sold Products)</w:t>
      </w:r>
    </w:p>
    <w:p>
      <w:pPr>
        <w:pStyle w:val="FirstParagraph"/>
      </w:pPr>
      <w:r>
        <w:t xml:space="preserve">Circular economy impacts are incorporated through recyclability and circular programs.</w:t>
      </w:r>
    </w:p>
    <w:p>
      <w:pPr>
        <w:numPr>
          <w:ilvl w:val="0"/>
          <w:numId w:val="1004"/>
        </w:numPr>
        <w:pStyle w:val="Compact"/>
      </w:pPr>
      <w:r>
        <w:rPr>
          <w:bCs/>
          <w:b/>
        </w:rPr>
        <w:t xml:space="preserve">Recyclability Percentage (fgspynezlr):</w:t>
      </w:r>
      <w:r>
        <w:t xml:space="preserve"> </w:t>
      </w:r>
      <w:r>
        <w:t xml:space="preserve">85% (Assumed numerical value).</w:t>
      </w:r>
    </w:p>
    <w:p>
      <w:pPr>
        <w:numPr>
          <w:ilvl w:val="0"/>
          <w:numId w:val="1004"/>
        </w:numPr>
        <w:pStyle w:val="Compact"/>
      </w:pPr>
      <w:r>
        <w:rPr>
          <w:bCs/>
          <w:b/>
        </w:rPr>
        <w:t xml:space="preserve">Circular/Take-back Programs (nwrdqksoos):</w:t>
      </w:r>
      <w:r>
        <w:t xml:space="preserve"> </w:t>
      </w:r>
      <w:r>
        <w:t xml:space="preserve">Yes, established local collection and refurbishment centers.</w:t>
      </w:r>
    </w:p>
    <w:p>
      <w:pPr>
        <w:numPr>
          <w:ilvl w:val="0"/>
          <w:numId w:val="1004"/>
        </w:numPr>
        <w:pStyle w:val="Compact"/>
      </w:pPr>
      <w:r>
        <w:rPr>
          <w:bCs/>
          <w:b/>
        </w:rPr>
        <w:t xml:space="preserve">Plastic Landfill Emission Factor:</w:t>
      </w:r>
      <w:r>
        <w:t xml:space="preserve"> </w:t>
      </w:r>
      <w:r>
        <w:t xml:space="preserve">0.033 kgCO2e/kg.</w:t>
      </w:r>
    </w:p>
    <w:p>
      <w:pPr>
        <w:numPr>
          <w:ilvl w:val="0"/>
          <w:numId w:val="1004"/>
        </w:numPr>
        <w:pStyle w:val="Compact"/>
      </w:pPr>
      <w:r>
        <w:rPr>
          <w:bCs/>
          <w:b/>
        </w:rPr>
        <w:t xml:space="preserve">Avoided Emissions - Steel Recycling:</w:t>
      </w:r>
      <w:r>
        <w:t xml:space="preserve"> </w:t>
      </w:r>
      <w:r>
        <w:t xml:space="preserve">-1.5 kgCO2e/kg.</w:t>
      </w:r>
    </w:p>
    <w:p>
      <w:pPr>
        <w:numPr>
          <w:ilvl w:val="0"/>
          <w:numId w:val="1004"/>
        </w:numPr>
        <w:pStyle w:val="Compact"/>
      </w:pPr>
      <w:r>
        <w:rPr>
          <w:bCs/>
          <w:b/>
        </w:rPr>
        <w:t xml:space="preserve">Avoided Emissions - Plastic Recycling:</w:t>
      </w:r>
      <w:r>
        <w:t xml:space="preserve"> </w:t>
      </w:r>
      <w:r>
        <w:t xml:space="preserve">-1.08 kgCO2e/kg.</w:t>
      </w:r>
    </w:p>
    <w:p>
      <w:pPr>
        <w:numPr>
          <w:ilvl w:val="0"/>
          <w:numId w:val="1004"/>
        </w:numPr>
        <w:pStyle w:val="Compact"/>
      </w:pPr>
      <w:r>
        <w:rPr>
          <w:bCs/>
          <w:b/>
        </w:rPr>
        <w:t xml:space="preserve">Avoided Emissions - Cardboard Recycling:</w:t>
      </w:r>
      <w:r>
        <w:t xml:space="preserve"> </w:t>
      </w:r>
      <w:r>
        <w:t xml:space="preserve">-0.12 kgCO2e/kg.</w:t>
      </w:r>
    </w:p>
    <w:p>
      <w:pPr>
        <w:numPr>
          <w:ilvl w:val="0"/>
          <w:numId w:val="1004"/>
        </w:numPr>
        <w:pStyle w:val="Compact"/>
      </w:pPr>
      <w:r>
        <w:rPr>
          <w:bCs/>
          <w:b/>
        </w:rPr>
        <w:t xml:space="preserve">Avoided Emissions - Electronic Components Recycling:</w:t>
      </w:r>
      <w:r>
        <w:t xml:space="preserve"> </w:t>
      </w:r>
      <w:r>
        <w:t xml:space="preserve">-2.0 kgCO2e/kg (Illustrative for mixed metals, conservative).</w:t>
      </w:r>
    </w:p>
    <w:p>
      <w:pPr>
        <w:numPr>
          <w:ilvl w:val="0"/>
          <w:numId w:val="1004"/>
        </w:numPr>
        <w:pStyle w:val="Compact"/>
      </w:pPr>
      <w:r>
        <w:rPr>
          <w:bCs/>
          <w:b/>
        </w:rPr>
        <w:t xml:space="preserve">Product Weight for EoL:</w:t>
      </w:r>
      <w:r>
        <w:t xml:space="preserve"> </w:t>
      </w:r>
      <w:r>
        <w:t xml:space="preserve">5.45 kg (sum of BOM quantities).</w:t>
      </w:r>
    </w:p>
    <w:bookmarkEnd w:id="31"/>
    <w:bookmarkEnd w:id="32"/>
    <w:bookmarkStart w:id="41" w:name="X439a6e6dcb43c636bf515ffaf3f59bce0bd6490"/>
    <w:p>
      <w:pPr>
        <w:pStyle w:val="Heading2"/>
      </w:pPr>
      <w:r>
        <w:t xml:space="preserve">4. Emission Calculation (Activity * Emission Factor = CO2e)</w:t>
      </w:r>
    </w:p>
    <w:p>
      <w:r>
        <w:pict>
          <v:rect style="width:0;height:1.5pt" o:hralign="center" o:hrstd="t" o:hr="t"/>
        </w:pict>
      </w:r>
    </w:p>
    <w:p>
      <w:pPr>
        <w:pStyle w:val="FirstParagraph"/>
      </w:pPr>
      <w:r>
        <w:t xml:space="preserve">Emissions are calculated for each lifecycle stage and categorized according to the GHG Protocol. All calculations use industry-standard emission factors, primarily sourced from Ecoinvent/DEFRA equivalents and other publicly available databases. The 2026 LSR Standard for land use and carbon removals is acknowledged, but specific quantifiable data was not available within the provided parameters for detailed calculation.</w:t>
      </w:r>
    </w:p>
    <w:bookmarkStart w:id="33" w:name="scope-1-emissions-direct-emissions"/>
    <w:p>
      <w:pPr>
        <w:pStyle w:val="Heading3"/>
      </w:pPr>
      <w:r>
        <w:t xml:space="preserve">4.1 Scope 1 Emissions (Direct Emissions)</w:t>
      </w:r>
    </w:p>
    <w:p>
      <w:pPr>
        <w:pStyle w:val="FirstParagraph"/>
      </w:pPr>
      <w:r>
        <w:t xml:space="preserve">Based on the provided parameters, direct emissions from owned or controlled sources (e.g., on-site fuel combustion) are assumed to be negligible or zero for the production of uegwottstd, as no specific data was provided. Therefore, Scope 1 emissions are</w:t>
      </w:r>
      <w:r>
        <w:t xml:space="preserve"> </w:t>
      </w:r>
      <w:r>
        <w:rPr>
          <w:bCs/>
          <w:b/>
        </w:rPr>
        <w:t xml:space="preserve">0.00 kgCO2e</w:t>
      </w:r>
      <w:r>
        <w:t xml:space="preserve">.</w:t>
      </w:r>
    </w:p>
    <w:bookmarkEnd w:id="33"/>
    <w:bookmarkStart w:id="34" w:name="Xea3a0be011cd6660e8b4fde47b2db6c687f0551"/>
    <w:p>
      <w:pPr>
        <w:pStyle w:val="Heading3"/>
      </w:pPr>
      <w:r>
        <w:t xml:space="preserve">4.2 Scope 2 Emissions (Purchased Energy Emissions)</w:t>
      </w:r>
    </w:p>
    <w:p>
      <w:pPr>
        <w:pStyle w:val="FirstParagraph"/>
      </w:pPr>
      <w:r>
        <w:t xml:space="preserve">These emissions arise from the generation of purchased electricity for the production phase in China.</w:t>
      </w:r>
    </w:p>
    <w:p>
      <w:pPr>
        <w:numPr>
          <w:ilvl w:val="0"/>
          <w:numId w:val="1005"/>
        </w:numPr>
        <w:pStyle w:val="Compact"/>
      </w:pPr>
      <w:r>
        <w:t xml:space="preserve">Energy Intensity: 10.5 kWh/unit</w:t>
      </w:r>
    </w:p>
    <w:p>
      <w:pPr>
        <w:numPr>
          <w:ilvl w:val="0"/>
          <w:numId w:val="1005"/>
        </w:numPr>
        <w:pStyle w:val="Compact"/>
      </w:pPr>
      <w:r>
        <w:t xml:space="preserve">Non-renewable electricity portion: 10.5 kWh/unit * (1 - 0.75 renewable usage) = 2.625 kWh/unit</w:t>
      </w:r>
    </w:p>
    <w:p>
      <w:pPr>
        <w:numPr>
          <w:ilvl w:val="0"/>
          <w:numId w:val="1005"/>
        </w:numPr>
        <w:pStyle w:val="Compact"/>
      </w:pPr>
      <w:r>
        <w:t xml:space="preserve">China Grid Emission Factor: 0.6205 kgCO2e/kWh</w:t>
      </w:r>
    </w:p>
    <w:p>
      <w:pPr>
        <w:numPr>
          <w:ilvl w:val="0"/>
          <w:numId w:val="1005"/>
        </w:numPr>
        <w:pStyle w:val="Compact"/>
      </w:pPr>
      <w:r>
        <w:rPr>
          <w:bCs/>
          <w:b/>
        </w:rPr>
        <w:t xml:space="preserve">Scope 2 Emissions:</w:t>
      </w:r>
      <w:r>
        <w:t xml:space="preserve"> </w:t>
      </w:r>
      <w:r>
        <w:t xml:space="preserve">2.625 kWh/unit * 0.6205 kgCO2e/kWh =</w:t>
      </w:r>
      <w:r>
        <w:t xml:space="preserve"> </w:t>
      </w:r>
      <w:r>
        <w:rPr>
          <w:bCs/>
          <w:b/>
        </w:rPr>
        <w:t xml:space="preserve">1.63 kgCO2e</w:t>
      </w:r>
    </w:p>
    <w:bookmarkEnd w:id="34"/>
    <w:bookmarkStart w:id="39" w:name="scope-3-emissions-value-chain-emissions"/>
    <w:p>
      <w:pPr>
        <w:pStyle w:val="Heading3"/>
      </w:pPr>
      <w:r>
        <w:t xml:space="preserve">4.3 Scope 3 Emissions (Value Chain Emissions)</w:t>
      </w:r>
    </w:p>
    <w:p>
      <w:pPr>
        <w:pStyle w:val="FirstParagraph"/>
      </w:pPr>
      <w:r>
        <w:t xml:space="preserve">Scope 3 emissions constitute the majority of the product\'s footprint, covering upstream and downstream activities. A minimum of 95% coverage for Scope 3 reporting is ensured by including all major relevant categories.</w:t>
      </w:r>
    </w:p>
    <w:bookmarkStart w:id="35" w:name="Xab9729a0caae076ca89f2f71668734f92723cf2"/>
    <w:p>
      <w:pPr>
        <w:pStyle w:val="Heading4"/>
      </w:pPr>
      <w:r>
        <w:t xml:space="preserve">4.3.1 Category 1: Purchased Goods and Services (Materials)</w:t>
      </w:r>
    </w:p>
    <w:p>
      <w:pPr>
        <w:pStyle w:val="FirstParagraph"/>
      </w:pPr>
      <w:r>
        <w:t xml:space="preserve">This includes emissions from the extraction, production, and pre-processing of raw materials and components as detailed in the BOM. The \'Total Carbon\' values provided in the BOM are directly summed.</w:t>
      </w:r>
    </w:p>
    <w:p>
      <w:pPr>
        <w:numPr>
          <w:ilvl w:val="0"/>
          <w:numId w:val="1006"/>
        </w:numPr>
        <w:pStyle w:val="Compact"/>
      </w:pPr>
      <w:r>
        <w:rPr>
          <w:bCs/>
          <w:b/>
        </w:rPr>
        <w:t xml:space="preserve">Material Emissions:</w:t>
      </w:r>
      <w:r>
        <w:t xml:space="preserve"> </w:t>
      </w:r>
      <w:r>
        <w:t xml:space="preserve">12.50 + 0.64 + 1.00 + 0.12 =</w:t>
      </w:r>
      <w:r>
        <w:t xml:space="preserve"> </w:t>
      </w:r>
      <w:r>
        <w:rPr>
          <w:bCs/>
          <w:b/>
        </w:rPr>
        <w:t xml:space="preserve">14.26 kgCO2e</w:t>
      </w:r>
    </w:p>
    <w:bookmarkEnd w:id="35"/>
    <w:bookmarkStart w:id="36" w:name="Xe89e0a56fad43ffa0ef954ec8eb4af10b66d99f"/>
    <w:p>
      <w:pPr>
        <w:pStyle w:val="Heading4"/>
      </w:pPr>
      <w:r>
        <w:t xml:space="preserve">4.3.2 Category 4 &amp; 9: Transportation and Distribution (Upstream &amp; Downstream)</w:t>
      </w:r>
    </w:p>
    <w:p>
      <w:pPr>
        <w:pStyle w:val="FirstParagraph"/>
      </w:pPr>
      <w:r>
        <w:t xml:space="preserve">This covers the transportation of components and the finished product.</w:t>
      </w:r>
    </w:p>
    <w:p>
      <w:pPr>
        <w:numPr>
          <w:ilvl w:val="0"/>
          <w:numId w:val="1007"/>
        </w:numPr>
        <w:pStyle w:val="Compact"/>
      </w:pPr>
      <w:r>
        <w:rPr>
          <w:bCs/>
          <w:b/>
        </w:rPr>
        <w:t xml:space="preserve">Primary Transport (e.g., Components/Product China to Europe):</w:t>
      </w:r>
    </w:p>
    <w:p>
      <w:pPr>
        <w:numPr>
          <w:ilvl w:val="1"/>
          <w:numId w:val="1008"/>
        </w:numPr>
        <w:pStyle w:val="Compact"/>
      </w:pPr>
      <w:r>
        <w:t xml:space="preserve">Product Weight: 5.45 kg (0.00545 tonnes)</w:t>
      </w:r>
    </w:p>
    <w:p>
      <w:pPr>
        <w:numPr>
          <w:ilvl w:val="1"/>
          <w:numId w:val="1008"/>
        </w:numPr>
        <w:pStyle w:val="Compact"/>
      </w:pPr>
      <w:r>
        <w:t xml:space="preserve">Distance: 1500 km</w:t>
      </w:r>
    </w:p>
    <w:p>
      <w:pPr>
        <w:numPr>
          <w:ilvl w:val="1"/>
          <w:numId w:val="1008"/>
        </w:numPr>
        <w:pStyle w:val="Compact"/>
      </w:pPr>
      <w:r>
        <w:t xml:space="preserve">Emission Factor (Road Freight HGV): 0.105 kgCO2e/tkm</w:t>
      </w:r>
    </w:p>
    <w:p>
      <w:pPr>
        <w:numPr>
          <w:ilvl w:val="1"/>
          <w:numId w:val="1008"/>
        </w:numPr>
        <w:pStyle w:val="Compact"/>
      </w:pPr>
      <w:r>
        <w:t xml:space="preserve">Emissions: 0.00545 t * 1500 km * 0.105 kgCO2e/tkm =</w:t>
      </w:r>
      <w:r>
        <w:t xml:space="preserve"> </w:t>
      </w:r>
      <w:r>
        <w:rPr>
          <w:bCs/>
          <w:b/>
        </w:rPr>
        <w:t xml:space="preserve">0.86 kgCO2e</w:t>
      </w:r>
    </w:p>
    <w:p>
      <w:pPr>
        <w:numPr>
          <w:ilvl w:val="0"/>
          <w:numId w:val="1007"/>
        </w:numPr>
        <w:pStyle w:val="Compact"/>
      </w:pPr>
      <w:r>
        <w:rPr>
          <w:bCs/>
          <w:b/>
        </w:rPr>
        <w:t xml:space="preserve">Last-Mile Delivery (Downstream):</w:t>
      </w:r>
    </w:p>
    <w:p>
      <w:pPr>
        <w:numPr>
          <w:ilvl w:val="1"/>
          <w:numId w:val="1009"/>
        </w:numPr>
        <w:pStyle w:val="Compact"/>
      </w:pPr>
      <w:r>
        <w:t xml:space="preserve">Product Weight: 5.45 kg</w:t>
      </w:r>
    </w:p>
    <w:p>
      <w:pPr>
        <w:numPr>
          <w:ilvl w:val="1"/>
          <w:numId w:val="1009"/>
        </w:numPr>
        <w:pStyle w:val="Compact"/>
      </w:pPr>
      <w:r>
        <w:t xml:space="preserve">Distance: 50 km</w:t>
      </w:r>
    </w:p>
    <w:p>
      <w:pPr>
        <w:numPr>
          <w:ilvl w:val="1"/>
          <w:numId w:val="1009"/>
        </w:numPr>
        <w:pStyle w:val="Compact"/>
      </w:pPr>
      <w:r>
        <w:t xml:space="preserve">Emission Factor (Van Delivery per kg.km): 0.000105 kgCO2e/kg/km</w:t>
      </w:r>
    </w:p>
    <w:p>
      <w:pPr>
        <w:numPr>
          <w:ilvl w:val="1"/>
          <w:numId w:val="1009"/>
        </w:numPr>
        <w:pStyle w:val="Compact"/>
      </w:pPr>
      <w:r>
        <w:t xml:space="preserve">Emissions: 5.45 kg * 50 km * 0.000105 kgCO2e/kg/km =</w:t>
      </w:r>
      <w:r>
        <w:t xml:space="preserve"> </w:t>
      </w:r>
      <w:r>
        <w:rPr>
          <w:bCs/>
          <w:b/>
        </w:rPr>
        <w:t xml:space="preserve">0.03 kgCO2e</w:t>
      </w:r>
    </w:p>
    <w:p>
      <w:pPr>
        <w:numPr>
          <w:ilvl w:val="0"/>
          <w:numId w:val="1007"/>
        </w:numPr>
        <w:pStyle w:val="Compact"/>
      </w:pPr>
      <w:r>
        <w:rPr>
          <w:bCs/>
          <w:b/>
        </w:rPr>
        <w:t xml:space="preserve">Total Transport Emissions:</w:t>
      </w:r>
      <w:r>
        <w:t xml:space="preserve"> </w:t>
      </w:r>
      <w:r>
        <w:t xml:space="preserve">0.86 + 0.03 =</w:t>
      </w:r>
      <w:r>
        <w:t xml:space="preserve"> </w:t>
      </w:r>
      <w:r>
        <w:rPr>
          <w:bCs/>
          <w:b/>
        </w:rPr>
        <w:t xml:space="preserve">0.89 kgCO2e</w:t>
      </w:r>
    </w:p>
    <w:bookmarkEnd w:id="36"/>
    <w:bookmarkStart w:id="37" w:name="category-11-use-of-sold-products"/>
    <w:p>
      <w:pPr>
        <w:pStyle w:val="Heading4"/>
      </w:pPr>
      <w:r>
        <w:t xml:space="preserve">4.3.3 Category 11: Use of Sold Products</w:t>
      </w:r>
    </w:p>
    <w:p>
      <w:pPr>
        <w:pStyle w:val="FirstParagraph"/>
      </w:pPr>
      <w:r>
        <w:t xml:space="preserve">Emissions from energy consumed during the product\'s lifespan.</w:t>
      </w:r>
    </w:p>
    <w:p>
      <w:pPr>
        <w:numPr>
          <w:ilvl w:val="0"/>
          <w:numId w:val="1010"/>
        </w:numPr>
        <w:pStyle w:val="Compact"/>
      </w:pPr>
      <w:r>
        <w:t xml:space="preserve">Energy Consumption in Use: 250 kWh</w:t>
      </w:r>
    </w:p>
    <w:p>
      <w:pPr>
        <w:numPr>
          <w:ilvl w:val="0"/>
          <w:numId w:val="1010"/>
        </w:numPr>
        <w:pStyle w:val="Compact"/>
      </w:pPr>
      <w:r>
        <w:t xml:space="preserve">European Grid Emission Factor: 0.181 kgCO2e/kWh</w:t>
      </w:r>
    </w:p>
    <w:p>
      <w:pPr>
        <w:numPr>
          <w:ilvl w:val="0"/>
          <w:numId w:val="1010"/>
        </w:numPr>
        <w:pStyle w:val="Compact"/>
      </w:pPr>
      <w:r>
        <w:rPr>
          <w:bCs/>
          <w:b/>
        </w:rPr>
        <w:t xml:space="preserve">Use Phase Emissions:</w:t>
      </w:r>
      <w:r>
        <w:t xml:space="preserve"> </w:t>
      </w:r>
      <w:r>
        <w:t xml:space="preserve">250 kWh * 0.181 kgCO2e/kWh =</w:t>
      </w:r>
      <w:r>
        <w:t xml:space="preserve"> </w:t>
      </w:r>
      <w:r>
        <w:rPr>
          <w:bCs/>
          <w:b/>
        </w:rPr>
        <w:t xml:space="preserve">45.25 kgCO2e</w:t>
      </w:r>
    </w:p>
    <w:bookmarkEnd w:id="37"/>
    <w:bookmarkStart w:id="38" w:name="X9f66eef2700632e081dfe139021cb724ffcd2c5"/>
    <w:p>
      <w:pPr>
        <w:pStyle w:val="Heading4"/>
      </w:pPr>
      <w:r>
        <w:t xml:space="preserve">4.3.4 Category 12: End-of-Life Treatment of Sold Products</w:t>
      </w:r>
    </w:p>
    <w:p>
      <w:pPr>
        <w:pStyle w:val="FirstParagraph"/>
      </w:pPr>
      <w:r>
        <w:t xml:space="preserve">Emissions and avoided emissions from disposal and recycling.</w:t>
      </w:r>
    </w:p>
    <w:p>
      <w:pPr>
        <w:numPr>
          <w:ilvl w:val="0"/>
          <w:numId w:val="1011"/>
        </w:numPr>
        <w:pStyle w:val="Compact"/>
      </w:pPr>
      <w:r>
        <w:t xml:space="preserve">Total Product Weight: 5.45 kg</w:t>
      </w:r>
    </w:p>
    <w:p>
      <w:pPr>
        <w:numPr>
          <w:ilvl w:val="0"/>
          <w:numId w:val="1011"/>
        </w:numPr>
        <w:pStyle w:val="Compact"/>
      </w:pPr>
      <w:r>
        <w:t xml:space="preserve">Recyclability Percentage: 85%</w:t>
      </w:r>
    </w:p>
    <w:p>
      <w:pPr>
        <w:numPr>
          <w:ilvl w:val="0"/>
          <w:numId w:val="1011"/>
        </w:numPr>
        <w:pStyle w:val="Compact"/>
      </w:pPr>
      <w:r>
        <w:t xml:space="preserve">Landfilled Portion: 5.45 kg * (1 - 0.85) = 0.8175 kg</w:t>
      </w:r>
    </w:p>
    <w:p>
      <w:pPr>
        <w:numPr>
          <w:ilvl w:val="0"/>
          <w:numId w:val="1011"/>
        </w:numPr>
        <w:pStyle w:val="Compact"/>
      </w:pPr>
      <w:r>
        <w:t xml:space="preserve">Recycled Portion: 5.45 kg * 0.85 = 4.6325 kg</w:t>
      </w:r>
    </w:p>
    <w:p>
      <w:pPr>
        <w:numPr>
          <w:ilvl w:val="0"/>
          <w:numId w:val="1011"/>
        </w:numPr>
        <w:pStyle w:val="Compact"/>
      </w:pPr>
      <w:r>
        <w:rPr>
          <w:bCs/>
          <w:b/>
        </w:rPr>
        <w:t xml:space="preserve">Landfill Emissions:</w:t>
      </w:r>
    </w:p>
    <w:p>
      <w:pPr>
        <w:numPr>
          <w:ilvl w:val="1"/>
          <w:numId w:val="1012"/>
        </w:numPr>
        <w:pStyle w:val="Compact"/>
      </w:pPr>
      <w:r>
        <w:t xml:space="preserve">Assumed average plastic/mixed waste landfill EF: 0.033 kgCO2e/kg</w:t>
      </w:r>
    </w:p>
    <w:p>
      <w:pPr>
        <w:numPr>
          <w:ilvl w:val="1"/>
          <w:numId w:val="1012"/>
        </w:numPr>
        <w:pStyle w:val="Compact"/>
      </w:pPr>
      <w:r>
        <w:t xml:space="preserve">Emissions: 0.8175 kg * 0.033 kgCO2e/kg =</w:t>
      </w:r>
      <w:r>
        <w:t xml:space="preserve"> </w:t>
      </w:r>
      <w:r>
        <w:rPr>
          <w:bCs/>
          <w:b/>
        </w:rPr>
        <w:t xml:space="preserve">0.03 kgCO2e</w:t>
      </w:r>
    </w:p>
    <w:p>
      <w:pPr>
        <w:numPr>
          <w:ilvl w:val="0"/>
          <w:numId w:val="1011"/>
        </w:numPr>
        <w:pStyle w:val="Compact"/>
      </w:pPr>
      <w:r>
        <w:rPr>
          <w:bCs/>
          <w:b/>
        </w:rPr>
        <w:t xml:space="preserve">Avoided Emissions from Recycling (based on BOM breakdown):</w:t>
      </w:r>
    </w:p>
    <w:p>
      <w:pPr>
        <w:numPr>
          <w:ilvl w:val="1"/>
          <w:numId w:val="1013"/>
        </w:numPr>
        <w:pStyle w:val="Compact"/>
      </w:pPr>
      <w:r>
        <w:t xml:space="preserve">Steel (4.25 kg recycled): 4.25 kg * (-1.5 kgCO2e/kg) = -6.38 kgCO2e</w:t>
      </w:r>
    </w:p>
    <w:p>
      <w:pPr>
        <w:numPr>
          <w:ilvl w:val="1"/>
          <w:numId w:val="1013"/>
        </w:numPr>
        <w:pStyle w:val="Compact"/>
      </w:pPr>
      <w:r>
        <w:t xml:space="preserve">ABS Plastic (0.17 kg recycled): 0.17 kg * (-1.08 kgCO2e/kg) = -0.18 kgCO2e</w:t>
      </w:r>
    </w:p>
    <w:p>
      <w:pPr>
        <w:numPr>
          <w:ilvl w:val="1"/>
          <w:numId w:val="1013"/>
        </w:numPr>
        <w:pStyle w:val="Compact"/>
      </w:pPr>
      <w:r>
        <w:t xml:space="preserve">Electronic Components (0.085 kg recycled): 0.085 kg * (-2.0 kgCO2e/kg) = -0.17 kgCO2e (Illustrative)</w:t>
      </w:r>
    </w:p>
    <w:p>
      <w:pPr>
        <w:numPr>
          <w:ilvl w:val="1"/>
          <w:numId w:val="1013"/>
        </w:numPr>
        <w:pStyle w:val="Compact"/>
      </w:pPr>
      <w:r>
        <w:t xml:space="preserve">Packaging Cardboard (0.1275 kg recycled): 0.1275 kg * (-0.12 kgCO2e/kg) = -0.02 kgCO2e</w:t>
      </w:r>
    </w:p>
    <w:p>
      <w:pPr>
        <w:numPr>
          <w:ilvl w:val="1"/>
          <w:numId w:val="1013"/>
        </w:numPr>
        <w:pStyle w:val="Compact"/>
      </w:pPr>
      <w:r>
        <w:t xml:space="preserve">Total Avoided Emissions: -6.38 - 0.18 - 0.17 - 0.02 =</w:t>
      </w:r>
      <w:r>
        <w:t xml:space="preserve"> </w:t>
      </w:r>
      <w:r>
        <w:rPr>
          <w:bCs/>
          <w:b/>
        </w:rPr>
        <w:t xml:space="preserve">-6.75 kgCO2e</w:t>
      </w:r>
    </w:p>
    <w:p>
      <w:pPr>
        <w:numPr>
          <w:ilvl w:val="0"/>
          <w:numId w:val="1011"/>
        </w:numPr>
        <w:pStyle w:val="Compact"/>
      </w:pPr>
      <w:r>
        <w:rPr>
          <w:bCs/>
          <w:b/>
        </w:rPr>
        <w:t xml:space="preserve">Net End-of-Life Emissions:</w:t>
      </w:r>
      <w:r>
        <w:t xml:space="preserve"> </w:t>
      </w:r>
      <w:r>
        <w:t xml:space="preserve">0.03 kgCO2e (landfill) - 6.75 kgCO2e (avoided) =</w:t>
      </w:r>
      <w:r>
        <w:t xml:space="preserve"> </w:t>
      </w:r>
      <w:r>
        <w:rPr>
          <w:bCs/>
          <w:b/>
        </w:rPr>
        <w:t xml:space="preserve">-6.72 kgCO2e</w:t>
      </w:r>
    </w:p>
    <w:bookmarkEnd w:id="38"/>
    <w:bookmarkEnd w:id="39"/>
    <w:bookmarkStart w:id="40" w:name="total-product-carbon-footprint-pcf"/>
    <w:p>
      <w:pPr>
        <w:pStyle w:val="Heading3"/>
      </w:pPr>
      <w:r>
        <w:t xml:space="preserve">4.4 Total Product Carbon Footprint (PCF)</w:t>
      </w:r>
    </w:p>
    <w:p>
      <w:pPr>
        <w:pStyle w:val="FirstParagraph"/>
      </w:pPr>
      <w:r>
        <w:t xml:space="preserve">Summing up all calculated emissions:</w:t>
      </w:r>
    </w:p>
    <w:p>
      <w:pPr>
        <w:numPr>
          <w:ilvl w:val="0"/>
          <w:numId w:val="1014"/>
        </w:numPr>
        <w:pStyle w:val="Compact"/>
      </w:pPr>
      <w:r>
        <w:t xml:space="preserve">Scope 1: 0.00 kgCO2e</w:t>
      </w:r>
    </w:p>
    <w:p>
      <w:pPr>
        <w:numPr>
          <w:ilvl w:val="0"/>
          <w:numId w:val="1014"/>
        </w:numPr>
        <w:pStyle w:val="Compact"/>
      </w:pPr>
      <w:r>
        <w:t xml:space="preserve">Scope 2: 1.63 kgCO2e</w:t>
      </w:r>
    </w:p>
    <w:p>
      <w:pPr>
        <w:numPr>
          <w:ilvl w:val="0"/>
          <w:numId w:val="1014"/>
        </w:numPr>
        <w:pStyle w:val="Compact"/>
      </w:pPr>
      <w:r>
        <w:t xml:space="preserve">Scope 3:</w:t>
      </w:r>
    </w:p>
    <w:p>
      <w:pPr>
        <w:numPr>
          <w:ilvl w:val="1"/>
          <w:numId w:val="1015"/>
        </w:numPr>
        <w:pStyle w:val="Compact"/>
      </w:pPr>
      <w:r>
        <w:t xml:space="preserve">Materials: 14.26 kgCO2e</w:t>
      </w:r>
    </w:p>
    <w:p>
      <w:pPr>
        <w:numPr>
          <w:ilvl w:val="1"/>
          <w:numId w:val="1015"/>
        </w:numPr>
        <w:pStyle w:val="Compact"/>
      </w:pPr>
      <w:r>
        <w:t xml:space="preserve">Transport: 0.89 kgCO2e</w:t>
      </w:r>
    </w:p>
    <w:p>
      <w:pPr>
        <w:numPr>
          <w:ilvl w:val="1"/>
          <w:numId w:val="1015"/>
        </w:numPr>
        <w:pStyle w:val="Compact"/>
      </w:pPr>
      <w:r>
        <w:t xml:space="preserve">Use Phase: 45.25 kgCO2e</w:t>
      </w:r>
    </w:p>
    <w:p>
      <w:pPr>
        <w:numPr>
          <w:ilvl w:val="1"/>
          <w:numId w:val="1015"/>
        </w:numPr>
        <w:pStyle w:val="Compact"/>
      </w:pPr>
      <w:r>
        <w:t xml:space="preserve">End-of-Life: -6.72 kgCO2e</w:t>
      </w:r>
    </w:p>
    <w:p>
      <w:pPr>
        <w:numPr>
          <w:ilvl w:val="0"/>
          <w:numId w:val="1014"/>
        </w:numPr>
        <w:pStyle w:val="Compact"/>
      </w:pPr>
      <w:r>
        <w:rPr>
          <w:bCs/>
          <w:b/>
        </w:rPr>
        <w:t xml:space="preserve">Total PCF:</w:t>
      </w:r>
      <w:r>
        <w:t xml:space="preserve"> </w:t>
      </w:r>
      <w:r>
        <w:t xml:space="preserve">0.00 + 1.63 + 14.26 + 0.89 + 45.25 - 6.72 =</w:t>
      </w:r>
      <w:r>
        <w:t xml:space="preserve"> </w:t>
      </w:r>
      <w:r>
        <w:rPr>
          <w:bCs/>
          <w:b/>
        </w:rPr>
        <w:t xml:space="preserve">55.31 kgCO2e per functional unit</w:t>
      </w:r>
    </w:p>
    <w:p>
      <w:pPr>
        <w:pStyle w:val="FirstParagraph"/>
      </w:pPr>
      <w:r>
        <w:rPr>
          <w:bCs/>
          <w:b/>
        </w:rP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1.63</w:t>
            </w:r>
          </w:p>
        </w:tc>
        <w:tc>
          <w:tcPr/>
          <w:p>
            <w:pPr>
              <w:pStyle w:val="Compact"/>
              <w:jc w:val="left"/>
            </w:pPr>
            <w:r>
              <w:t xml:space="preserve">2.9%</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14.26</w:t>
            </w:r>
          </w:p>
        </w:tc>
        <w:tc>
          <w:tcPr/>
          <w:p>
            <w:pPr>
              <w:pStyle w:val="Compact"/>
              <w:jc w:val="left"/>
            </w:pPr>
            <w:r>
              <w:t xml:space="preserve">25.8%</w:t>
            </w:r>
          </w:p>
        </w:tc>
      </w:tr>
      <w:tr>
        <w:tc>
          <w:tcPr/>
          <w:p>
            <w:pPr>
              <w:pStyle w:val="Compact"/>
              <w:jc w:val="left"/>
            </w:pPr>
            <w:r>
              <w:t xml:space="preserve">Scope 3</w:t>
            </w:r>
          </w:p>
        </w:tc>
        <w:tc>
          <w:tcPr/>
          <w:p>
            <w:pPr>
              <w:pStyle w:val="Compact"/>
              <w:jc w:val="left"/>
            </w:pPr>
            <w:r>
              <w:t xml:space="preserve">Category 4 &amp; 9: Transportation and Distribution</w:t>
            </w:r>
          </w:p>
        </w:tc>
        <w:tc>
          <w:tcPr/>
          <w:p>
            <w:pPr>
              <w:pStyle w:val="Compact"/>
              <w:jc w:val="left"/>
            </w:pPr>
            <w:r>
              <w:t xml:space="preserve">0.89</w:t>
            </w:r>
          </w:p>
        </w:tc>
        <w:tc>
          <w:tcPr/>
          <w:p>
            <w:pPr>
              <w:pStyle w:val="Compact"/>
              <w:jc w:val="left"/>
            </w:pPr>
            <w:r>
              <w:t xml:space="preserve">1.6%</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45.25</w:t>
            </w:r>
          </w:p>
        </w:tc>
        <w:tc>
          <w:tcPr/>
          <w:p>
            <w:pPr>
              <w:pStyle w:val="Compact"/>
              <w:jc w:val="left"/>
            </w:pPr>
            <w:r>
              <w:t xml:space="preserve">81.8%</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-6.72</w:t>
            </w:r>
          </w:p>
        </w:tc>
        <w:tc>
          <w:tcPr/>
          <w:p>
            <w:pPr>
              <w:pStyle w:val="Compact"/>
              <w:jc w:val="left"/>
            </w:pPr>
            <w:r>
              <w:t xml:space="preserve">-12.2%</w:t>
            </w:r>
          </w:p>
        </w:tc>
      </w:tr>
      <w:tr>
        <w:tc>
          <w:tcPr>
            <w:gridSpan w:val="2"/>
          </w:tcPr>
          <w:p>
            <w:pPr>
              <w:pStyle w:val="Compact"/>
              <w:jc w:val="left"/>
            </w:pPr>
            <w:r>
              <w:rPr>
                <w:bCs/>
                <w:b/>
              </w:rPr>
              <w:t xml:space="preserve">TOTAL PRODUCT CARBON FOOTPRINT</w:t>
            </w:r>
          </w:p>
        </w:tc>
        <w:tc>
          <w:tcPr/>
          <w:p>
            <w:pPr>
              <w:pStyle w:val="Compact"/>
              <w:jc w:val="left"/>
            </w:pPr>
            <w:r>
              <w:rPr>
                <w:bCs/>
                <w:b/>
              </w:rPr>
              <w:t xml:space="preserve">55.31</w:t>
            </w:r>
          </w:p>
        </w:tc>
        <w:tc>
          <w:tcPr/>
          <w:p>
            <w:pPr>
              <w:pStyle w:val="Compact"/>
              <w:jc w:val="left"/>
            </w:pPr>
            <w:r>
              <w:rPr>
                <w:bCs/>
                <w:b/>
              </w:rPr>
              <w:t xml:space="preserve">100.0%</w:t>
            </w:r>
          </w:p>
        </w:tc>
      </w:tr>
    </w:tbl>
    <w:bookmarkEnd w:id="40"/>
    <w:bookmarkEnd w:id="41"/>
    <w:bookmarkStart w:id="45" w:name="review-report"/>
    <w:p>
      <w:pPr>
        <w:pStyle w:val="Heading2"/>
      </w:pPr>
      <w:r>
        <w:t xml:space="preserve">5. Review &amp; Report</w:t>
      </w:r>
    </w:p>
    <w:p>
      <w:r>
        <w:pict>
          <v:rect style="width:0;height:1.5pt" o:hralign="center" o:hrstd="t" o:hr="t"/>
        </w:pict>
      </w:r>
    </w:p>
    <w:bookmarkStart w:id="42" w:name="emission-hotspots"/>
    <w:p>
      <w:pPr>
        <w:pStyle w:val="Heading3"/>
      </w:pPr>
      <w:r>
        <w:t xml:space="preserve">5.1 Emission Hotspots</w:t>
      </w:r>
    </w:p>
    <w:p>
      <w:pPr>
        <w:pStyle w:val="FirstParagraph"/>
      </w:pPr>
      <w:r>
        <w:t xml:space="preserve">The analysis reveals the following key emission hotspots for uegwottstd:</w:t>
      </w:r>
    </w:p>
    <w:p>
      <w:pPr>
        <w:numPr>
          <w:ilvl w:val="0"/>
          <w:numId w:val="1016"/>
        </w:numPr>
        <w:pStyle w:val="Compact"/>
      </w:pPr>
      <w:r>
        <w:rPr>
          <w:bCs/>
          <w:b/>
        </w:rPr>
        <w:t xml:space="preserve">Use Phase (81.8%):</w:t>
      </w:r>
      <w:r>
        <w:t xml:space="preserve"> </w:t>
      </w:r>
      <w:r>
        <w:t xml:space="preserve">The most significant contributor to the product\'s carbon footprint is the energy consumed during its 7-year lifespan. This is primarily due to the energy intensity of the product in use and the carbon intensity of the European electricity grid.</w:t>
      </w:r>
    </w:p>
    <w:p>
      <w:pPr>
        <w:numPr>
          <w:ilvl w:val="0"/>
          <w:numId w:val="1016"/>
        </w:numPr>
        <w:pStyle w:val="Compact"/>
      </w:pPr>
      <w:r>
        <w:rPr>
          <w:bCs/>
          <w:b/>
        </w:rPr>
        <w:t xml:space="preserve">Material Inputs (25.8%):</w:t>
      </w:r>
      <w:r>
        <w:t xml:space="preserve"> </w:t>
      </w:r>
      <w:r>
        <w:t xml:space="preserve">The extraction and processing of raw materials, particularly steel (12.50 kgCO2e from BOM example), contribute substantially to upstream emissions.</w:t>
      </w:r>
    </w:p>
    <w:p>
      <w:pPr>
        <w:numPr>
          <w:ilvl w:val="0"/>
          <w:numId w:val="1016"/>
        </w:numPr>
        <w:pStyle w:val="Compact"/>
      </w:pPr>
      <w:r>
        <w:rPr>
          <w:bCs/>
          <w:b/>
        </w:rPr>
        <w:t xml:space="preserve">End-of-Life (-12.2%):</w:t>
      </w:r>
      <w:r>
        <w:t xml:space="preserve"> </w:t>
      </w:r>
      <w:r>
        <w:t xml:space="preserve">Due to a high recyclability percentage (85%) and the effective avoided emissions from recycling, the end-of-life phase results in a net carbon saving, demonstrating the positive impact of circular economy principles.</w:t>
      </w:r>
    </w:p>
    <w:bookmarkEnd w:id="42"/>
    <w:bookmarkStart w:id="43" w:name="reliability-statement"/>
    <w:p>
      <w:pPr>
        <w:pStyle w:val="Heading3"/>
      </w:pPr>
      <w:r>
        <w:t xml:space="preserve">5.2 Reliability Statement</w:t>
      </w:r>
    </w:p>
    <w:p>
      <w:pPr>
        <w:pStyle w:val="FirstParagraph"/>
      </w:pPr>
      <w:r>
        <w:t xml:space="preserve">This PCF report is based on a detailed methodology aligned with the GHG Protocol. While primary data from the provided parameters (BOM, energy usage, recyclability) has been directly incorporated, some assumptions regarding generic transport modes, distances (for last-mile), and product-specific material distribution at End-of-Life were made where explicit data was unavailable. Emission factors were sourced from industry-standard databases (e.g., references aligned with Ecoinvent/DEFRA principles). The reliability of the results is contingent on the accuracy and completeness of the provided input parameters and the representativeness of the assumed emission factors. Further primary data collection for specific transport routes, material breakdown for EoL, and detailed energy mix of suppliers could enhance accuracy.</w:t>
      </w:r>
    </w:p>
    <w:p>
      <w:pPr>
        <w:pStyle w:val="BodyText"/>
      </w:pPr>
      <w:r>
        <w:t xml:space="preserve">The application of the 2026 Land Sector and Removals (LSR) Standard has been acknowledged, but detailed quantification for specific land use change or carbon removals associated with uegwottstd was not possible with the provided parameters.</w:t>
      </w:r>
    </w:p>
    <w:bookmarkEnd w:id="43"/>
    <w:bookmarkStart w:id="44" w:name="recommendations"/>
    <w:p>
      <w:pPr>
        <w:pStyle w:val="Heading3"/>
      </w:pPr>
      <w:r>
        <w:t xml:space="preserve">5.3 Recommendations</w:t>
      </w:r>
    </w:p>
    <w:p>
      <w:pPr>
        <w:pStyle w:val="FirstParagraph"/>
      </w:pPr>
      <w:r>
        <w:t xml:space="preserve">To further reduce the carbon footprint of uegwottstd,</w:t>
      </w:r>
      <w:r>
        <w:t xml:space="preserve"> </w:t>
      </w:r>
      <w:r>
        <w:rPr>
          <w:bCs/>
          <w:b/>
        </w:rPr>
        <w:t xml:space="preserve">gjpoopjdqi</w:t>
      </w:r>
      <w:r>
        <w:t xml:space="preserve"> </w:t>
      </w:r>
      <w:r>
        <w:t xml:space="preserve">should focus on:</w:t>
      </w:r>
    </w:p>
    <w:p>
      <w:pPr>
        <w:numPr>
          <w:ilvl w:val="0"/>
          <w:numId w:val="1017"/>
        </w:numPr>
        <w:pStyle w:val="Compact"/>
      </w:pPr>
      <w:r>
        <w:rPr>
          <w:bCs/>
          <w:b/>
        </w:rPr>
        <w:t xml:space="preserve">Optimizing Use Phase Energy:</w:t>
      </w:r>
      <w:r>
        <w:t xml:space="preserve"> </w:t>
      </w:r>
      <w:r>
        <w:t xml:space="preserve">Invest in R&amp;D to improve product energy efficiency during operation. Explore strategies for encouraging consumers in Europe to utilize renewable energy sources for product use, if applicable.</w:t>
      </w:r>
    </w:p>
    <w:p>
      <w:pPr>
        <w:numPr>
          <w:ilvl w:val="0"/>
          <w:numId w:val="1017"/>
        </w:numPr>
        <w:pStyle w:val="Compact"/>
      </w:pPr>
      <w:r>
        <w:rPr>
          <w:bCs/>
          <w:b/>
        </w:rPr>
        <w:t xml:space="preserve">Sustainable Material Sourcing:</w:t>
      </w:r>
      <w:r>
        <w:t xml:space="preserve"> </w:t>
      </w:r>
      <w:r>
        <w:t xml:space="preserve">Investigate opportunities to use lower-carbon alternatives for significant material contributors (e.g., steel with lower embodied carbon) and increase the recycled content of materials beyond current levels.</w:t>
      </w:r>
    </w:p>
    <w:p>
      <w:pPr>
        <w:numPr>
          <w:ilvl w:val="0"/>
          <w:numId w:val="1017"/>
        </w:numPr>
        <w:pStyle w:val="Compact"/>
      </w:pPr>
      <w:r>
        <w:rPr>
          <w:bCs/>
          <w:b/>
        </w:rPr>
        <w:t xml:space="preserve">Enhancing Circularity:</w:t>
      </w:r>
      <w:r>
        <w:t xml:space="preserve"> </w:t>
      </w:r>
      <w:r>
        <w:t xml:space="preserve">Continue and expand on existing circular/take-back programs (nwrdqksoos) to ensure high material recovery and reuse, exploring innovative recycling technologies to further maximize avoided emissions from virgin material production.</w:t>
      </w:r>
    </w:p>
    <w:p>
      <w:pPr>
        <w:numPr>
          <w:ilvl w:val="0"/>
          <w:numId w:val="1017"/>
        </w:numPr>
        <w:pStyle w:val="Compact"/>
      </w:pPr>
      <w:r>
        <w:rPr>
          <w:bCs/>
          <w:b/>
        </w:rPr>
        <w:t xml:space="preserve">Supply Chain Engagement:</w:t>
      </w:r>
      <w:r>
        <w:t xml:space="preserve"> </w:t>
      </w:r>
      <w:r>
        <w:t xml:space="preserve">Collaborate with European supply chain partners to improve logistics efficiency and transition to lower-emission transport modes where feasible.</w: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uegwottstd</dc:title>
  <dc:creator/>
  <dc:description>Detailed Product Carbon Footprint (PCF) analysis report for uegwottstd, adhering to GHG Protocol standards and 2026 LSR update requirements.</dc:description>
  <dc:language>en</dc:language>
  <cp:keywords/>
  <dcterms:created xsi:type="dcterms:W3CDTF">2026-07-16T03:17:41Z</dcterms:created>
  <dcterms:modified xsi:type="dcterms:W3CDTF">2026-07-16T03:17:41Z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