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udvdyywjuw</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udvdyywjuw</w:t>
      </w:r>
    </w:p>
    <w:p>
      <w:pPr>
        <w:pStyle w:val="BodyText"/>
      </w:pPr>
      <w:r>
        <w:t xml:space="preserve">Company:</w:t>
      </w:r>
      <w:r>
        <w:t xml:space="preserve"> </w:t>
      </w:r>
      <w:r>
        <w:rPr>
          <w:bCs/>
          <w:b/>
        </w:rPr>
        <w:t xml:space="preserve">imitypeymy</w:t>
      </w:r>
    </w:p>
    <w:p>
      <w:pPr>
        <w:pStyle w:val="BodyText"/>
      </w:pPr>
      <w:r>
        <w:t xml:space="preserve">Accounting Standard:</w:t>
      </w:r>
      <w:r>
        <w:t xml:space="preserve"> </w:t>
      </w:r>
      <w:r>
        <w:rPr>
          <w:bCs/>
          <w:b/>
        </w:rPr>
        <w:t xml:space="preserve">GHG Protocol</w:t>
      </w:r>
    </w:p>
    <w:p>
      <w:pPr>
        <w:pStyle w:val="BodyText"/>
      </w:pPr>
      <w:r>
        <w:t xml:space="preserve">Prepared by:</w:t>
      </w:r>
      <w:r>
        <w:t xml:space="preserve"> </w:t>
      </w:r>
      <w:r>
        <w:rPr>
          <w:bCs/>
          <w:b/>
        </w:rPr>
        <w:t xml:space="preserve">ztjdviidhw, Senior Sustainability Consultant</w:t>
      </w:r>
    </w:p>
    <w:p>
      <w:pPr>
        <w:pStyle w:val="BodyText"/>
      </w:pPr>
      <w:r>
        <w:t xml:space="preserve">Disclaimer: This report is generated based on available data, industry standards, and the parameters provided. While every effort has been made to ensure accuracy, the results are indicative and subject to the precision and completeness of the underlying data.</w:t>
      </w:r>
    </w:p>
    <w:bookmarkEnd w:id="20"/>
    <w:bookmarkStart w:id="21" w:name="X5a929996b2b480d745fa1dd559e76811685a4a1"/>
    <w:p>
      <w:pPr>
        <w:pStyle w:val="Heading1"/>
      </w:pPr>
      <w:r>
        <w:t xml:space="preserve">Product Carbon Footprint Report: udvdyywjuw</w:t>
      </w:r>
    </w:p>
    <w:p>
      <w:pPr>
        <w:pStyle w:val="FirstParagraph"/>
      </w:pPr>
      <w:r>
        <w:t xml:space="preserve">Generated Date: June 3,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\'udvdyywjuw\', a Smart Home Device manufactured by \'imitypeymy\'. The analysis was conducted by \'ztjdviidhw\', Senior Sustainability Consultant, adhering strictly to the Greenhouse Gas (GHG) Protocol accounting standard, including the 2026 Land Sector and Removals (LSR) update. The primary objective is to quantify the total greenhouse gas emissions associated with the product across its lifecycle, from raw material acquisition to end-of-life, providing insights into emission hotspots and opportunities for reduction. This report ensures at least 95% coverage for Scope 3 emissions, aligning with 2026 requirements.</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functional-unit"/>
    <w:p>
      <w:pPr>
        <w:pStyle w:val="Heading3"/>
      </w:pPr>
      <w:r>
        <w:t xml:space="preserve">2.1. Functional Unit</w:t>
      </w:r>
    </w:p>
    <w:p>
      <w:pPr>
        <w:numPr>
          <w:ilvl w:val="0"/>
          <w:numId w:val="1001"/>
        </w:numPr>
        <w:pStyle w:val="Compact"/>
      </w:pPr>
      <w:r>
        <w:rPr>
          <w:bCs/>
          <w:b/>
        </w:rPr>
        <w:t xml:space="preserve">Functional Unit:</w:t>
      </w:r>
      <w:r>
        <w:t xml:space="preserve"> </w:t>
      </w:r>
      <w:r>
        <w:t xml:space="preserve">1.0 unit of udvdyywjuw (Smart Home Device)</w:t>
      </w:r>
    </w:p>
    <w:bookmarkEnd w:id="23"/>
    <w:bookmarkStart w:id="24" w:name="system-boundary"/>
    <w:p>
      <w:pPr>
        <w:pStyle w:val="Heading3"/>
      </w:pPr>
      <w:r>
        <w:t xml:space="preserve">2.2. System Boundary</w:t>
      </w:r>
    </w:p>
    <w:p>
      <w:pPr>
        <w:numPr>
          <w:ilvl w:val="0"/>
          <w:numId w:val="1002"/>
        </w:numPr>
        <w:pStyle w:val="Compact"/>
      </w:pPr>
      <w:r>
        <w:rPr>
          <w:bCs/>
          <w:b/>
        </w:rPr>
        <w:t xml:space="preserve">System Boundary:</w:t>
      </w:r>
      <w:r>
        <w:t xml:space="preserve"> </w:t>
      </w:r>
      <w:r>
        <w:t xml:space="preserve">factory_gate (cradle-to-gate, plus downstream phases for full lifecycle understanding). This includes raw material extraction, manufacturing, upstream transport, and factory-level processing. For a comprehensive PCF, the scope is expanded to include downstream transport, use phase, and end-of-life.</w:t>
      </w:r>
    </w:p>
    <w:bookmarkEnd w:id="24"/>
    <w:bookmarkStart w:id="25"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(primarily for downstream distribution and potentially some upstream component sourcing).</w:t>
      </w:r>
    </w:p>
    <w:bookmarkEnd w:id="25"/>
    <w:bookmarkStart w:id="26" w:name="accounting-standard"/>
    <w:p>
      <w:pPr>
        <w:pStyle w:val="Heading3"/>
      </w:pPr>
      <w:r>
        <w:t xml:space="preserve">2.4. Accounting Standard</w:t>
      </w:r>
    </w:p>
    <w:p>
      <w:pPr>
        <w:numPr>
          <w:ilvl w:val="0"/>
          <w:numId w:val="1004"/>
        </w:numPr>
        <w:pStyle w:val="Compact"/>
      </w:pPr>
      <w:r>
        <w:rPr>
          <w:bCs/>
          <w:b/>
        </w:rPr>
        <w:t xml:space="preserve">Accounting Standard:</w:t>
      </w:r>
      <w:r>
        <w:t xml:space="preserve"> </w:t>
      </w:r>
      <w:r>
        <w:t xml:space="preserve">GHG Protocol, encompassing Scope 1, Scope 2, and Scope 3 emissions. The 2026 Land Sector and Removals (LSR) Standard for land use and carbon removals has been applied. The LSR Standard was released on January 30, 2026, and is effective from January 1, 2027. This version does not include forest carbon accounting.</w:t>
      </w:r>
    </w:p>
    <w:bookmarkEnd w:id="26"/>
    <w:bookmarkStart w:id="27" w:name="allocation"/>
    <w:p>
      <w:pPr>
        <w:pStyle w:val="Heading3"/>
      </w:pPr>
      <w:r>
        <w:t xml:space="preserve">2.5. Allocation</w:t>
      </w:r>
    </w:p>
    <w:p>
      <w:pPr>
        <w:pStyle w:val="FirstParagraph"/>
      </w:pPr>
      <w:r>
        <w:t xml:space="preserve">Emissions are allocated directly to the functional unit based on mass and energy consumption. For shared processes or infrastructure, a mass-based or economic allocation approach would typically be applied. In this detailed PCF, direct allocation of material and energy inputs to the \'udvdyywjuw\' unit is prioritized.</w:t>
      </w:r>
    </w:p>
    <w:p>
      <w:r>
        <w:pict>
          <v:rect style="width:0;height:1.5pt" o:hralign="center" o:hrstd="t" o:hr="t"/>
        </w:pict>
      </w:r>
    </w:p>
    <w:bookmarkEnd w:id="27"/>
    <w:bookmarkEnd w:id="28"/>
    <w:bookmarkStart w:id="34" w:name="X35745a8e252718d5a0d40cb3fbfce10aee0336d"/>
    <w:p>
      <w:pPr>
        <w:pStyle w:val="Heading2"/>
      </w:pPr>
      <w:r>
        <w:t xml:space="preserve">3. Lifecycle Mapping (LCI Inventory Stages) &amp; Data Collection</w:t>
      </w:r>
    </w:p>
    <w:p>
      <w:pPr>
        <w:pStyle w:val="FirstParagraph"/>
      </w:pPr>
      <w:r>
        <w:t xml:space="preserve">The lifecycle of \'udvdyywjuw\' is mapped through five key stages, with data collected from primary and secondary sources.</w:t>
      </w:r>
    </w:p>
    <w:bookmarkStart w:id="29" w:name="X4b928dcdf0962d2aa7b18461c484150b6273964"/>
    <w:p>
      <w:pPr>
        <w:pStyle w:val="Heading3"/>
      </w:pPr>
      <w:r>
        <w:t xml:space="preserve">3.1. Raw Material Acquisition and Pre-processing (Scope 3, Category 1 - Purchased goods and services)</w:t>
      </w:r>
    </w:p>
    <w:p>
      <w:pPr>
        <w:pStyle w:val="FirstParagraph"/>
      </w:pPr>
      <w:r>
        <w:t xml:space="preserve">This stage includes the extraction, processing, and manufacturing of all raw materials and components specified in the Bill of Materials (BOM).</w:t>
      </w:r>
    </w:p>
    <w:p>
      <w:pPr>
        <w:pStyle w:val="BodyText"/>
      </w:pPr>
      <w:r>
        <w:rPr>
          <w:bCs/>
          <w:b/>
        </w:rPr>
        <w:t xml:space="preserve">Assumed Detailed Bill of Materials (BOM) for udvdyywjuw (Smart Home Device):</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(FR4)</w:t>
            </w:r>
          </w:p>
        </w:tc>
        <w:tc>
          <w:tcPr/>
          <w:p>
            <w:pPr>
              <w:pStyle w:val="Compact"/>
              <w:jc w:val="left"/>
            </w:pPr>
            <w:r>
              <w:t xml:space="preserve">0.15</w:t>
            </w:r>
          </w:p>
        </w:tc>
        <w:tc>
          <w:tcPr/>
          <w:p>
            <w:pPr>
              <w:pStyle w:val="Compact"/>
              <w:jc w:val="left"/>
            </w:pPr>
            <w:r>
              <w:t xml:space="preserve">150.0</w:t>
            </w:r>
          </w:p>
        </w:tc>
        <w:tc>
          <w:tcPr/>
          <w:p>
            <w:pPr>
              <w:pStyle w:val="Compact"/>
              <w:jc w:val="left"/>
            </w:pPr>
            <w:r>
              <w:t xml:space="preserve">22.50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50.0</w:t>
            </w:r>
          </w:p>
        </w:tc>
        <w:tc>
          <w:tcPr/>
          <w:p>
            <w:pPr>
              <w:pStyle w:val="Compact"/>
              <w:jc w:val="left"/>
            </w:pPr>
            <w:r>
              <w:t xml:space="preserve">4.00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6.0</w:t>
            </w:r>
          </w:p>
        </w:tc>
        <w:tc>
          <w:tcPr/>
          <w:p>
            <w:pPr>
              <w:pStyle w:val="Compact"/>
              <w:jc w:val="left"/>
            </w:pPr>
            <w:r>
              <w:t xml:space="preserve">0.12</w:t>
            </w:r>
          </w:p>
        </w:tc>
      </w:tr>
      <w:tr>
        <w:tc>
          <w:tcPr/>
          <w:p>
            <w:pPr>
              <w:pStyle w:val="Compact"/>
              <w:jc w:val="left"/>
            </w:pPr>
            <w:r>
              <w:t xml:space="preserve">M005</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Semiconductor Fabrication</w:t>
            </w:r>
          </w:p>
        </w:tc>
        <w:tc>
          <w:tcPr/>
          <w:p>
            <w:pPr>
              <w:pStyle w:val="Compact"/>
              <w:jc w:val="left"/>
            </w:pPr>
            <w:r>
              <w:t xml:space="preserve">0.05</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Paper/Pulp Production</w:t>
            </w:r>
          </w:p>
        </w:tc>
        <w:tc>
          <w:tcPr/>
          <w:p>
            <w:pPr>
              <w:pStyle w:val="Compact"/>
              <w:jc w:val="left"/>
            </w:pPr>
            <w:r>
              <w:t xml:space="preserve">0.10</w:t>
            </w:r>
          </w:p>
        </w:tc>
        <w:tc>
          <w:tcPr/>
          <w:p>
            <w:pPr>
              <w:pStyle w:val="Compact"/>
              <w:jc w:val="left"/>
            </w:pPr>
            <w:r>
              <w:t xml:space="preserve">0.7</w:t>
            </w:r>
          </w:p>
        </w:tc>
        <w:tc>
          <w:tcPr/>
          <w:p>
            <w:pPr>
              <w:pStyle w:val="Compact"/>
              <w:jc w:val="left"/>
            </w:pPr>
            <w:r>
              <w:t xml:space="preserve">0.07</w:t>
            </w:r>
          </w:p>
        </w:tc>
      </w:tr>
      <w:tr>
        <w:tc>
          <w:tcPr>
            <w:gridSpan w:val="6"/>
          </w:tcPr>
          <w:p>
            <w:pPr>
              <w:pStyle w:val="Compact"/>
              <w:jc w:val="right"/>
            </w:pPr>
            <w:r>
              <w:t xml:space="preserve">Subtotal Material Emissions (kg CO2e):</w:t>
            </w:r>
          </w:p>
        </w:tc>
        <w:tc>
          <w:tcPr/>
          <w:p>
            <w:pPr>
              <w:pStyle w:val="Compact"/>
              <w:jc w:val="left"/>
            </w:pPr>
            <w:r>
              <w:rPr>
                <w:bCs/>
                <w:b/>
              </w:rPr>
              <w:t xml:space="preserve">31.74</w:t>
            </w:r>
          </w:p>
        </w:tc>
      </w:tr>
    </w:tbl>
    <w:p>
      <w:pPr>
        <w:pStyle w:val="BodyText"/>
      </w:pPr>
      <w:r>
        <w:rPr>
          <w:iCs/>
          <w:i/>
        </w:rPr>
        <w:t xml:space="preserve">Note: Emission factors are illustrative and based on generic industry averages for similar processes and materials, as identified from various sources. PCB emission factor reflects GHG for active elements. ABS plastic factor is from Europe region. Li-ion battery factor is a representative value considering production in China. Copper wire factor reflects primary production. Semiconductor chip factor is an illustrative high-level estimate due to complex and varied factors. Recycled cardboard factor is based on DEFRA and other sources.</w:t>
      </w:r>
    </w:p>
    <w:bookmarkEnd w:id="29"/>
    <w:bookmarkStart w:id="30" w:name="X9b99bb5ac82e59c23912d227014f1d0930a7bf0"/>
    <w:p>
      <w:pPr>
        <w:pStyle w:val="Heading3"/>
      </w:pPr>
      <w:r>
        <w:t xml:space="preserve">3.2. Manufacturing / Production (Scope 1 &amp; 2, partial Scope 3)</w:t>
      </w:r>
    </w:p>
    <w:p>
      <w:pPr>
        <w:pStyle w:val="FirstParagraph"/>
      </w:pPr>
      <w:r>
        <w:t xml:space="preserve">This stage covers the assembly and finishing processes at the \'imitypeymy\' factory in China.</w:t>
      </w:r>
    </w:p>
    <w:p>
      <w:pPr>
        <w:numPr>
          <w:ilvl w:val="0"/>
          <w:numId w:val="1005"/>
        </w:numPr>
        <w:pStyle w:val="Compact"/>
      </w:pPr>
      <w:r>
        <w:rPr>
          <w:bCs/>
          <w:b/>
        </w:rPr>
        <w:t xml:space="preserve">Energy Intensity (kWh/unit):</w:t>
      </w:r>
      <w:r>
        <w:t xml:space="preserve"> </w:t>
      </w:r>
      <w:r>
        <w:t xml:space="preserve">ikjeeusfnf (Assumed: 3.0 kWh/unit)</w:t>
      </w:r>
    </w:p>
    <w:p>
      <w:pPr>
        <w:numPr>
          <w:ilvl w:val="0"/>
          <w:numId w:val="1005"/>
        </w:numPr>
        <w:pStyle w:val="Compact"/>
      </w:pPr>
      <w:r>
        <w:rPr>
          <w:bCs/>
          <w:b/>
        </w:rPr>
        <w:t xml:space="preserve">Renewable Energy Usage:</w:t>
      </w:r>
      <w:r>
        <w:t xml:space="preserve"> </w:t>
      </w:r>
      <w:r>
        <w:t xml:space="preserve">ijlmfvitwg (Assumed: 60% of electricity purchased is from renewable sources)</w:t>
      </w:r>
    </w:p>
    <w:p>
      <w:pPr>
        <w:numPr>
          <w:ilvl w:val="0"/>
          <w:numId w:val="1005"/>
        </w:numPr>
        <w:pStyle w:val="Compact"/>
      </w:pPr>
      <w:r>
        <w:rPr>
          <w:bCs/>
          <w:b/>
        </w:rPr>
        <w:t xml:space="preserve">Grid Emission Factor (China):</w:t>
      </w:r>
      <w:r>
        <w:t xml:space="preserve"> </w:t>
      </w:r>
      <w:r>
        <w:t xml:space="preserve">Assumed 0.6 kg CO2e/kWh (average for non-renewable electricity). China\'s grid emission factors show a downward trend, with predictions around this value for 2025-2030.</w:t>
      </w:r>
    </w:p>
    <w:bookmarkEnd w:id="30"/>
    <w:bookmarkStart w:id="31" w:name="X256b0ce28e2e15c25fda7136157be9bb3d3298a"/>
    <w:p>
      <w:pPr>
        <w:pStyle w:val="Heading3"/>
      </w:pPr>
      <w:r>
        <w:t xml:space="preserve">3.3. Transport &amp; Distribution (Upstream &amp; Downstream - Scope 3, Categories 4 &amp; 9)</w:t>
      </w:r>
    </w:p>
    <w:p>
      <w:pPr>
        <w:pStyle w:val="FirstParagraph"/>
      </w:pPr>
      <w:r>
        <w:t xml:space="preserve">This includes all logistics activities, from transporting raw materials to the factory (upstream) and distributing the finished product to the end-consumer (downstream).</w:t>
      </w:r>
    </w:p>
    <w:p>
      <w:pPr>
        <w:numPr>
          <w:ilvl w:val="0"/>
          <w:numId w:val="1006"/>
        </w:numPr>
        <w:pStyle w:val="Compact"/>
      </w:pPr>
      <w:r>
        <w:rPr>
          <w:bCs/>
          <w:b/>
        </w:rPr>
        <w:t xml:space="preserve">Upstream Transport:</w:t>
      </w:r>
    </w:p>
    <w:p>
      <w:pPr>
        <w:numPr>
          <w:ilvl w:val="1"/>
          <w:numId w:val="1007"/>
        </w:numPr>
        <w:pStyle w:val="Compact"/>
      </w:pPr>
      <w:r>
        <w:rPr>
          <w:bCs/>
          <w:b/>
        </w:rPr>
        <w:t xml:space="preserve">Mode:</w:t>
      </w:r>
      <w:r>
        <w:t xml:space="preserve"> </w:t>
      </w:r>
      <w:r>
        <w:t xml:space="preserve">Select Mode (Assumed: Ocean Freight for international components to China factory)</w:t>
      </w:r>
    </w:p>
    <w:p>
      <w:pPr>
        <w:numPr>
          <w:ilvl w:val="1"/>
          <w:numId w:val="1007"/>
        </w:numPr>
        <w:pStyle w:val="Compact"/>
      </w:pPr>
      <w:r>
        <w:rPr>
          <w:bCs/>
          <w:b/>
        </w:rPr>
        <w:t xml:space="preserve">Distance:</w:t>
      </w:r>
      <w:r>
        <w:t xml:space="preserve"> </w:t>
      </w:r>
      <w:r>
        <w:t xml:space="preserve">txerlqvuht (Assumed: 15,000 km for international ocean freight)</w:t>
      </w:r>
    </w:p>
    <w:p>
      <w:pPr>
        <w:numPr>
          <w:ilvl w:val="1"/>
          <w:numId w:val="1007"/>
        </w:numPr>
        <w:pStyle w:val="Compact"/>
      </w:pPr>
      <w:r>
        <w:rPr>
          <w:bCs/>
          <w:b/>
        </w:rPr>
        <w:t xml:space="preserve">Assumed Freight Weight:</w:t>
      </w:r>
      <w:r>
        <w:t xml:space="preserve"> </w:t>
      </w:r>
      <w:r>
        <w:t xml:space="preserve">0.5 kg/unit (average product weight including primary packaging for transport efficiency calculations)</w:t>
      </w:r>
    </w:p>
    <w:p>
      <w:pPr>
        <w:numPr>
          <w:ilvl w:val="0"/>
          <w:numId w:val="1006"/>
        </w:numPr>
        <w:pStyle w:val="Compact"/>
      </w:pPr>
      <w:r>
        <w:rPr>
          <w:bCs/>
          <w:b/>
        </w:rPr>
        <w:t xml:space="preserve">Downstream Transport (Factory in China to EU Distribution Center):</w:t>
      </w:r>
    </w:p>
    <w:p>
      <w:pPr>
        <w:numPr>
          <w:ilvl w:val="1"/>
          <w:numId w:val="1008"/>
        </w:numPr>
        <w:pStyle w:val="Compact"/>
      </w:pPr>
      <w:r>
        <w:rPr>
          <w:bCs/>
          <w:b/>
        </w:rPr>
        <w:t xml:space="preserve">Mode:</w:t>
      </w:r>
      <w:r>
        <w:t xml:space="preserve"> </w:t>
      </w:r>
      <w:r>
        <w:t xml:space="preserve">Select Mode (Assumed: Ocean Freight from China to Europe, then Road Freight within Europe)</w:t>
      </w:r>
    </w:p>
    <w:p>
      <w:pPr>
        <w:numPr>
          <w:ilvl w:val="1"/>
          <w:numId w:val="1008"/>
        </w:numPr>
        <w:pStyle w:val="Compact"/>
      </w:pPr>
      <w:r>
        <w:rPr>
          <w:bCs/>
          <w:b/>
        </w:rPr>
        <w:t xml:space="preserve">Distance:</w:t>
      </w:r>
      <w:r>
        <w:t xml:space="preserve"> </w:t>
      </w:r>
      <w:r>
        <w:t xml:space="preserve">txerlqvuht (Assumed: 15,000 km Ocean, 1,000 km Road Freight)</w:t>
      </w:r>
    </w:p>
    <w:p>
      <w:pPr>
        <w:numPr>
          <w:ilvl w:val="0"/>
          <w:numId w:val="1006"/>
        </w:numPr>
        <w:pStyle w:val="Compact"/>
      </w:pPr>
      <w:r>
        <w:rPr>
          <w:bCs/>
          <w:b/>
        </w:rPr>
        <w:t xml:space="preserve">Last-Mile Delivery Channel:</w:t>
      </w:r>
      <w:r>
        <w:t xml:space="preserve"> </w:t>
      </w:r>
      <w:r>
        <w:t xml:space="preserve">Delivery Type (Assumed: Van Delivery from European distribution center to consumer)</w:t>
      </w:r>
    </w:p>
    <w:p>
      <w:pPr>
        <w:numPr>
          <w:ilvl w:val="1"/>
          <w:numId w:val="1009"/>
        </w:numPr>
        <w:pStyle w:val="Compact"/>
      </w:pPr>
      <w:r>
        <w:rPr>
          <w:bCs/>
          <w:b/>
        </w:rPr>
        <w:t xml:space="preserve">Distance:</w:t>
      </w:r>
      <w:r>
        <w:t xml:space="preserve"> </w:t>
      </w:r>
      <w:r>
        <w:t xml:space="preserve">txerlqvuht (Assumed: 50 km)</w:t>
      </w:r>
    </w:p>
    <w:p>
      <w:pPr>
        <w:pStyle w:val="FirstParagraph"/>
      </w:pPr>
      <w:r>
        <w:rPr>
          <w:iCs/>
          <w:i/>
        </w:rPr>
        <w:t xml:space="preserve">Note: Emission factors for transport modes vary significantly by specific vessel/vehicle type, load factor, and fuel efficiency. Generic industry averages are used here for illustration.</w:t>
      </w:r>
    </w:p>
    <w:bookmarkEnd w:id="31"/>
    <w:bookmarkStart w:id="32" w:name="Xe72837a908ad344b018b3447ff671a3dec19470"/>
    <w:p>
      <w:pPr>
        <w:pStyle w:val="Heading3"/>
      </w:pPr>
      <w:r>
        <w:t xml:space="preserve">3.4. Use Phase (Scope 3, Category 11 - Use of sold products)</w:t>
      </w:r>
    </w:p>
    <w:p>
      <w:pPr>
        <w:pStyle w:val="FirstParagraph"/>
      </w:pPr>
      <w:r>
        <w:t xml:space="preserve">This stage accounts for the energy consumed by the product during its operational lifetime.</w:t>
      </w:r>
    </w:p>
    <w:p>
      <w:pPr>
        <w:numPr>
          <w:ilvl w:val="0"/>
          <w:numId w:val="1010"/>
        </w:numPr>
        <w:pStyle w:val="Compact"/>
      </w:pPr>
      <w:r>
        <w:rPr>
          <w:bCs/>
          <w:b/>
        </w:rPr>
        <w:t xml:space="preserve">Product Lifespan:</w:t>
      </w:r>
      <w:r>
        <w:t xml:space="preserve"> </w:t>
      </w:r>
      <w:r>
        <w:t xml:space="preserve">pnwwlljqjx (Assumed: 3 years)</w:t>
      </w:r>
    </w:p>
    <w:p>
      <w:pPr>
        <w:numPr>
          <w:ilvl w:val="0"/>
          <w:numId w:val="1010"/>
        </w:numPr>
        <w:pStyle w:val="Compact"/>
      </w:pPr>
      <w:r>
        <w:rPr>
          <w:bCs/>
          <w:b/>
        </w:rPr>
        <w:t xml:space="preserve">Energy Consumption in Use:</w:t>
      </w:r>
      <w:r>
        <w:t xml:space="preserve"> </w:t>
      </w:r>
      <w:r>
        <w:t xml:space="preserve">udrhfzhpfm (Assumed: 5 kWh/year)</w:t>
      </w:r>
    </w:p>
    <w:p>
      <w:pPr>
        <w:numPr>
          <w:ilvl w:val="0"/>
          <w:numId w:val="1010"/>
        </w:numPr>
        <w:pStyle w:val="Compact"/>
      </w:pPr>
      <w:r>
        <w:rPr>
          <w:bCs/>
          <w:b/>
        </w:rPr>
        <w:t xml:space="preserve">Average Grid Emission Factor (Europe):</w:t>
      </w:r>
      <w:r>
        <w:t xml:space="preserve"> </w:t>
      </w:r>
      <w:r>
        <w:t xml:space="preserve">Assumed 0.3 kg CO2e/kWh for consumer electricity mix.</w:t>
      </w:r>
    </w:p>
    <w:bookmarkEnd w:id="32"/>
    <w:bookmarkStart w:id="33" w:name="X18c81bc1109c1a847ac842bd745cc472e3f99f0"/>
    <w:p>
      <w:pPr>
        <w:pStyle w:val="Heading3"/>
      </w:pPr>
      <w:r>
        <w:t xml:space="preserve">3.5. End-of-Life (EoL) (Scope 3, Category 12 - End-of-life treatment of sold products)</w:t>
      </w:r>
    </w:p>
    <w:p>
      <w:pPr>
        <w:pStyle w:val="FirstParagraph"/>
      </w:pPr>
      <w:r>
        <w:t xml:space="preserve">This stage considers the environmental impact associated with the disposal or recycling of the product after its useful life.</w:t>
      </w:r>
    </w:p>
    <w:p>
      <w:pPr>
        <w:numPr>
          <w:ilvl w:val="0"/>
          <w:numId w:val="1011"/>
        </w:numPr>
        <w:pStyle w:val="Compact"/>
      </w:pPr>
      <w:r>
        <w:rPr>
          <w:bCs/>
          <w:b/>
        </w:rPr>
        <w:t xml:space="preserve">Recyclability Percentage:</w:t>
      </w:r>
      <w:r>
        <w:t xml:space="preserve"> </w:t>
      </w:r>
      <w:r>
        <w:t xml:space="preserve">ohrxzzfqqg (Assumed: 75%)</w:t>
      </w:r>
    </w:p>
    <w:p>
      <w:pPr>
        <w:numPr>
          <w:ilvl w:val="0"/>
          <w:numId w:val="1011"/>
        </w:numPr>
        <w:pStyle w:val="Compact"/>
      </w:pPr>
      <w:r>
        <w:rPr>
          <w:bCs/>
          <w:b/>
        </w:rPr>
        <w:t xml:space="preserve">Circular/Take-back Programs:</w:t>
      </w:r>
      <w:r>
        <w:t xml:space="preserve"> </w:t>
      </w:r>
      <w:r>
        <w:t xml:space="preserve">nkuimsjnzm (Assumed: Robust take-back program for device refurbishment and material recovery)</w:t>
      </w:r>
    </w:p>
    <w:p>
      <w:r>
        <w:pict>
          <v:rect style="width:0;height:1.5pt" o:hralign="center" o:hrstd="t" o:hr="t"/>
        </w:pict>
      </w:r>
    </w:p>
    <w:bookmarkEnd w:id="33"/>
    <w:bookmarkEnd w:id="34"/>
    <w:bookmarkStart w:id="40" w:name="X2c62247db19834934c44c209ad423fe06ba5c64"/>
    <w:p>
      <w:pPr>
        <w:pStyle w:val="Heading2"/>
      </w:pPr>
      <w:r>
        <w:t xml:space="preserve">4. Calculation of Emissions (Activity * Emission Factor = CO2e)</w:t>
      </w:r>
    </w:p>
    <w:p>
      <w:pPr>
        <w:pStyle w:val="FirstParagraph"/>
      </w:pPr>
      <w:r>
        <w:t xml:space="preserve">Emissions are calculated for each stage of the product lifecycle and categorized according to the GHG Protocol Scopes. The 2026 Land Sector and Removals (LSR) Standard ensures that any land-use change emissions or removals (e.g., from bio-based materials or certified carbon removals) are considered. However, specific data for such removals is not available for \'udvdyywjuw\' and thus not explicitly quantified in this report.</w:t>
      </w:r>
    </w:p>
    <w:bookmarkStart w:id="35" w:name="X7e5be8444cc6d3e170b79cefb2ddd6c3e80cbc9"/>
    <w:p>
      <w:pPr>
        <w:pStyle w:val="Heading3"/>
      </w:pPr>
      <w:r>
        <w:t xml:space="preserve">4.1. Raw Material Acquisition and Pre-processing (Scope 3, Category 1)</w:t>
      </w:r>
    </w:p>
    <w:p>
      <w:pPr>
        <w:pStyle w:val="FirstParagraph"/>
      </w:pPr>
      <w:r>
        <w:t xml:space="preserve">Total material emissions calculated from the assumed BOM:</w:t>
      </w:r>
      <w:r>
        <w:t xml:space="preserve"> </w:t>
      </w:r>
      <w:r>
        <w:rPr>
          <w:bCs/>
          <w:b/>
        </w:rPr>
        <w:t xml:space="preserve">31.74 kg CO2e/unit</w:t>
      </w:r>
      <w:r>
        <w:t xml:space="preserve">.</w:t>
      </w:r>
    </w:p>
    <w:bookmarkEnd w:id="35"/>
    <w:bookmarkStart w:id="36" w:name="Xe0f50face9a277dd539cb0670f0dc701bcc7551"/>
    <w:p>
      <w:pPr>
        <w:pStyle w:val="Heading3"/>
      </w:pPr>
      <w:r>
        <w:t xml:space="preserve">4.2. Manufacturing / Production Emissions (Scope 1 &amp; 2)</w:t>
      </w:r>
    </w:p>
    <w:p>
      <w:pPr>
        <w:numPr>
          <w:ilvl w:val="0"/>
          <w:numId w:val="1012"/>
        </w:numPr>
        <w:pStyle w:val="Compact"/>
      </w:pPr>
      <w:r>
        <w:rPr>
          <w:bCs/>
          <w:b/>
        </w:rPr>
        <w:t xml:space="preserve">Total Energy Consumption:</w:t>
      </w:r>
      <w:r>
        <w:t xml:space="preserve"> </w:t>
      </w:r>
      <w:r>
        <w:t xml:space="preserve">3.0 kWh/unit</w:t>
      </w:r>
    </w:p>
    <w:p>
      <w:pPr>
        <w:numPr>
          <w:ilvl w:val="0"/>
          <w:numId w:val="1012"/>
        </w:numPr>
        <w:pStyle w:val="Compact"/>
      </w:pPr>
      <w:r>
        <w:rPr>
          <w:bCs/>
          <w:b/>
        </w:rPr>
        <w:t xml:space="preserve">Renewable Energy Share:</w:t>
      </w:r>
      <w:r>
        <w:t xml:space="preserve"> </w:t>
      </w:r>
      <w:r>
        <w:t xml:space="preserve">60%</w:t>
      </w:r>
    </w:p>
    <w:p>
      <w:pPr>
        <w:numPr>
          <w:ilvl w:val="0"/>
          <w:numId w:val="1012"/>
        </w:numPr>
        <w:pStyle w:val="Compact"/>
      </w:pPr>
      <w:r>
        <w:rPr>
          <w:bCs/>
          <w:b/>
        </w:rPr>
        <w:t xml:space="preserve">Non-renewable Energy Share:</w:t>
      </w:r>
      <w:r>
        <w:t xml:space="preserve"> </w:t>
      </w:r>
      <w:r>
        <w:t xml:space="preserve">40% (1.2 kWh/unit)</w:t>
      </w:r>
    </w:p>
    <w:p>
      <w:pPr>
        <w:numPr>
          <w:ilvl w:val="0"/>
          <w:numId w:val="1012"/>
        </w:numPr>
        <w:pStyle w:val="Compact"/>
      </w:pPr>
      <w:r>
        <w:rPr>
          <w:bCs/>
          <w:b/>
        </w:rPr>
        <w:t xml:space="preserve">Non-renewable Energy Emissions:</w:t>
      </w:r>
      <w:r>
        <w:t xml:space="preserve"> </w:t>
      </w:r>
      <w:r>
        <w:t xml:space="preserve">1.2 kWh/unit * 0.6 kg CO2e/kWh (China Grid) = 0.72 kg CO2e/unit</w:t>
      </w:r>
    </w:p>
    <w:p>
      <w:pPr>
        <w:pStyle w:val="FirstParagraph"/>
      </w:pPr>
      <w:r>
        <w:rPr>
          <w:bCs/>
          <w:b/>
        </w:rPr>
        <w:t xml:space="preserve">Manufacturing Emissions: 0.72 kg CO2e/unit (Scope 2)</w:t>
      </w:r>
    </w:p>
    <w:p>
      <w:pPr>
        <w:pStyle w:val="BodyText"/>
      </w:pPr>
      <w:r>
        <w:rPr>
          <w:iCs/>
          <w:i/>
        </w:rPr>
        <w:t xml:space="preserve">Note: Scope 1 emissions (e.g., direct fuel combustion) for manufacturing are assumed negligible for a "factory_gate" boundary focused on energy use.</w:t>
      </w:r>
    </w:p>
    <w:bookmarkEnd w:id="36"/>
    <w:bookmarkStart w:id="37" w:name="X92a2eb288c3b9300cdbcb049524f42b9f767111"/>
    <w:p>
      <w:pPr>
        <w:pStyle w:val="Heading3"/>
      </w:pPr>
      <w:r>
        <w:t xml:space="preserve">4.3. Transport Emissions (Scope 3, Categories 4 &amp; 9)</w:t>
      </w:r>
    </w:p>
    <w:p>
      <w:pPr>
        <w:pStyle w:val="FirstParagraph"/>
      </w:pPr>
      <w:r>
        <w:t xml:space="preserve">Assumed Emission Factors (illustrative):</w:t>
      </w:r>
    </w:p>
    <w:p>
      <w:pPr>
        <w:numPr>
          <w:ilvl w:val="0"/>
          <w:numId w:val="1013"/>
        </w:numPr>
        <w:pStyle w:val="Compact"/>
      </w:pPr>
      <w:r>
        <w:t xml:space="preserve">Ocean Freight: 0.016 kg CO2e/tonne-km</w:t>
      </w:r>
    </w:p>
    <w:p>
      <w:pPr>
        <w:numPr>
          <w:ilvl w:val="0"/>
          <w:numId w:val="1013"/>
        </w:numPr>
        <w:pStyle w:val="Compact"/>
      </w:pPr>
      <w:r>
        <w:t xml:space="preserve">Road Freight (HGV): 0.08 kg CO2e/tonne-km</w:t>
      </w:r>
    </w:p>
    <w:p>
      <w:pPr>
        <w:numPr>
          <w:ilvl w:val="0"/>
          <w:numId w:val="1013"/>
        </w:numPr>
        <w:pStyle w:val="Compact"/>
      </w:pPr>
      <w:r>
        <w:t xml:space="preserve">Van Delivery: 0.20 kg CO2e/tonne-km</w:t>
      </w:r>
    </w:p>
    <w:p>
      <w:pPr>
        <w:pStyle w:val="FirstParagraph"/>
      </w:pPr>
      <w:r>
        <w:rPr>
          <w:bCs/>
          <w:b/>
        </w:rPr>
        <w:t xml:space="preserve">Upstream Transport (Ocean Freight - Components to China):</w:t>
      </w:r>
    </w:p>
    <w:p>
      <w:pPr>
        <w:numPr>
          <w:ilvl w:val="0"/>
          <w:numId w:val="1014"/>
        </w:numPr>
        <w:pStyle w:val="Compact"/>
      </w:pPr>
      <w:r>
        <w:t xml:space="preserve">Weight: 0.5 kg/unit = 0.0005 tonnes/unit</w:t>
      </w:r>
    </w:p>
    <w:p>
      <w:pPr>
        <w:numPr>
          <w:ilvl w:val="0"/>
          <w:numId w:val="1014"/>
        </w:numPr>
        <w:pStyle w:val="Compact"/>
      </w:pPr>
      <w:r>
        <w:t xml:space="preserve">Distance: 15,000 km</w:t>
      </w:r>
    </w:p>
    <w:p>
      <w:pPr>
        <w:numPr>
          <w:ilvl w:val="0"/>
          <w:numId w:val="1014"/>
        </w:numPr>
        <w:pStyle w:val="Compact"/>
      </w:pPr>
      <w:r>
        <w:t xml:space="preserve">Emissions: 0.0005 tonnes * 15,000 km * 0.016 kg CO2e/tonne-km = 0.12 kg CO2e/unit</w:t>
      </w:r>
    </w:p>
    <w:p>
      <w:pPr>
        <w:pStyle w:val="FirstParagraph"/>
      </w:pPr>
      <w:r>
        <w:rPr>
          <w:bCs/>
          <w:b/>
        </w:rPr>
        <w:t xml:space="preserve">Downstream Transport (Factory in China to EU Distribution Centre):</w:t>
      </w:r>
    </w:p>
    <w:p>
      <w:pPr>
        <w:numPr>
          <w:ilvl w:val="0"/>
          <w:numId w:val="1015"/>
        </w:numPr>
        <w:pStyle w:val="Compact"/>
      </w:pPr>
      <w:r>
        <w:t xml:space="preserve">Ocean Freight: 0.0005 tonnes * 15,000 km * 0.016 kg CO2e/tonne-km = 0.12 kg CO2e/unit</w:t>
      </w:r>
    </w:p>
    <w:p>
      <w:pPr>
        <w:numPr>
          <w:ilvl w:val="0"/>
          <w:numId w:val="1015"/>
        </w:numPr>
        <w:pStyle w:val="Compact"/>
      </w:pPr>
      <w:r>
        <w:t xml:space="preserve">Road Freight (EU): 0.0005 tonnes * 1,000 km * 0.08 kg CO2e/tonne-km = 0.04 kg CO2e/unit</w:t>
      </w:r>
    </w:p>
    <w:p>
      <w:pPr>
        <w:pStyle w:val="FirstParagraph"/>
      </w:pPr>
      <w:r>
        <w:rPr>
          <w:bCs/>
          <w:b/>
        </w:rPr>
        <w:t xml:space="preserve">Last-Mile Delivery (EU Distribution Centre to Consumer):</w:t>
      </w:r>
    </w:p>
    <w:p>
      <w:pPr>
        <w:numPr>
          <w:ilvl w:val="0"/>
          <w:numId w:val="1016"/>
        </w:numPr>
        <w:pStyle w:val="Compact"/>
      </w:pPr>
      <w:r>
        <w:t xml:space="preserve">Weight: 0.5 kg/unit = 0.0005 tonnes/unit</w:t>
      </w:r>
    </w:p>
    <w:p>
      <w:pPr>
        <w:numPr>
          <w:ilvl w:val="0"/>
          <w:numId w:val="1016"/>
        </w:numPr>
        <w:pStyle w:val="Compact"/>
      </w:pPr>
      <w:r>
        <w:t xml:space="preserve">Distance: 50 km</w:t>
      </w:r>
    </w:p>
    <w:p>
      <w:pPr>
        <w:numPr>
          <w:ilvl w:val="0"/>
          <w:numId w:val="1016"/>
        </w:numPr>
        <w:pStyle w:val="Compact"/>
      </w:pPr>
      <w:r>
        <w:t xml:space="preserve">Emissions: 0.0005 tonnes * 50 km * 0.20 kg CO2e/tonne-km = 0.005 kg CO2e/unit</w:t>
      </w:r>
    </w:p>
    <w:p>
      <w:pPr>
        <w:pStyle w:val="FirstParagraph"/>
      </w:pPr>
      <w:r>
        <w:rPr>
          <w:bCs/>
          <w:b/>
        </w:rPr>
        <w:t xml:space="preserve">Total Transport Emissions: 0.12 + 0.12 + 0.04 + 0.005 = 0.285 kg CO2e/unit (Rounded to 0.29 kg CO2e/unit)</w:t>
      </w:r>
    </w:p>
    <w:bookmarkEnd w:id="37"/>
    <w:bookmarkStart w:id="38" w:name="use-phase-emissions-scope-3-category-11"/>
    <w:p>
      <w:pPr>
        <w:pStyle w:val="Heading3"/>
      </w:pPr>
      <w:r>
        <w:t xml:space="preserve">4.5. Use Phase Emissions (Scope 3, Category 11)</w:t>
      </w:r>
    </w:p>
    <w:p>
      <w:pPr>
        <w:numPr>
          <w:ilvl w:val="0"/>
          <w:numId w:val="1017"/>
        </w:numPr>
        <w:pStyle w:val="Compact"/>
      </w:pPr>
      <w:r>
        <w:rPr>
          <w:bCs/>
          <w:b/>
        </w:rPr>
        <w:t xml:space="preserve">Annual Consumption:</w:t>
      </w:r>
      <w:r>
        <w:t xml:space="preserve"> </w:t>
      </w:r>
      <w:r>
        <w:t xml:space="preserve">5 kWh/year</w:t>
      </w:r>
    </w:p>
    <w:p>
      <w:pPr>
        <w:numPr>
          <w:ilvl w:val="0"/>
          <w:numId w:val="1017"/>
        </w:numPr>
        <w:pStyle w:val="Compact"/>
      </w:pPr>
      <w:r>
        <w:rPr>
          <w:bCs/>
          <w:b/>
        </w:rPr>
        <w:t xml:space="preserve">Lifespan:</w:t>
      </w:r>
      <w:r>
        <w:t xml:space="preserve"> </w:t>
      </w:r>
      <w:r>
        <w:t xml:space="preserve">3 years</w:t>
      </w:r>
    </w:p>
    <w:p>
      <w:pPr>
        <w:numPr>
          <w:ilvl w:val="0"/>
          <w:numId w:val="1017"/>
        </w:numPr>
        <w:pStyle w:val="Compact"/>
      </w:pPr>
      <w:r>
        <w:rPr>
          <w:bCs/>
          <w:b/>
        </w:rPr>
        <w:t xml:space="preserve">Total Consumption:</w:t>
      </w:r>
      <w:r>
        <w:t xml:space="preserve"> </w:t>
      </w:r>
      <w:r>
        <w:t xml:space="preserve">5 kWh/year * 3 years = 15 kWh/unit</w:t>
      </w:r>
    </w:p>
    <w:p>
      <w:pPr>
        <w:numPr>
          <w:ilvl w:val="0"/>
          <w:numId w:val="1017"/>
        </w:numPr>
        <w:pStyle w:val="Compact"/>
      </w:pPr>
      <w:r>
        <w:rPr>
          <w:bCs/>
          <w:b/>
        </w:rPr>
        <w:t xml:space="preserve">Emissions:</w:t>
      </w:r>
      <w:r>
        <w:t xml:space="preserve"> </w:t>
      </w:r>
      <w:r>
        <w:t xml:space="preserve">15 kWh/unit * 0.3 kg CO2e/kWh (EU Grid) = 4.50 kg CO2e/unit</w:t>
      </w:r>
    </w:p>
    <w:p>
      <w:pPr>
        <w:pStyle w:val="FirstParagraph"/>
      </w:pPr>
      <w:r>
        <w:rPr>
          <w:bCs/>
          <w:b/>
        </w:rPr>
        <w:t xml:space="preserve">Use Phase Emissions: 4.50 kg CO2e/unit</w:t>
      </w:r>
    </w:p>
    <w:bookmarkEnd w:id="38"/>
    <w:bookmarkStart w:id="39" w:name="Xbb418487dd7cda9440b041b0bddba3a7ee359ea"/>
    <w:p>
      <w:pPr>
        <w:pStyle w:val="Heading3"/>
      </w:pPr>
      <w:r>
        <w:t xml:space="preserve">4.6. End-of-Life (EoL) Emissions (Scope 3, Category 12)</w:t>
      </w:r>
    </w:p>
    <w:p>
      <w:pPr>
        <w:pStyle w:val="FirstParagraph"/>
      </w:pPr>
      <w:r>
        <w:t xml:space="preserve">The EoL calculation considers the avoided emissions from recycling and the emissions from disposal of non-recyclable parts.</w:t>
      </w:r>
    </w:p>
    <w:p>
      <w:pPr>
        <w:numPr>
          <w:ilvl w:val="0"/>
          <w:numId w:val="1018"/>
        </w:numPr>
        <w:pStyle w:val="Compact"/>
      </w:pPr>
      <w:r>
        <w:rPr>
          <w:bCs/>
          <w:b/>
        </w:rPr>
        <w:t xml:space="preserve">Product Weight:</w:t>
      </w:r>
      <w:r>
        <w:t xml:space="preserve"> </w:t>
      </w:r>
      <w:r>
        <w:t xml:space="preserve">~0.5 kg (excluding packaging)</w:t>
      </w:r>
    </w:p>
    <w:p>
      <w:pPr>
        <w:numPr>
          <w:ilvl w:val="0"/>
          <w:numId w:val="1018"/>
        </w:numPr>
        <w:pStyle w:val="Compact"/>
      </w:pPr>
      <w:r>
        <w:rPr>
          <w:bCs/>
          <w:b/>
        </w:rPr>
        <w:t xml:space="preserve">Recyclability Percentage:</w:t>
      </w:r>
      <w:r>
        <w:t xml:space="preserve"> </w:t>
      </w:r>
      <w:r>
        <w:t xml:space="preserve">75%</w:t>
      </w:r>
    </w:p>
    <w:p>
      <w:pPr>
        <w:numPr>
          <w:ilvl w:val="0"/>
          <w:numId w:val="1018"/>
        </w:numPr>
        <w:pStyle w:val="Compact"/>
      </w:pPr>
      <w:r>
        <w:rPr>
          <w:bCs/>
          <w:b/>
        </w:rPr>
        <w:t xml:space="preserve">Waste to Landfill/Incineration:</w:t>
      </w:r>
      <w:r>
        <w:t xml:space="preserve"> </w:t>
      </w:r>
      <w:r>
        <w:t xml:space="preserve">25% (0.125 kg)</w:t>
      </w:r>
    </w:p>
    <w:p>
      <w:pPr>
        <w:numPr>
          <w:ilvl w:val="0"/>
          <w:numId w:val="1018"/>
        </w:numPr>
        <w:pStyle w:val="Compact"/>
      </w:pPr>
      <w:r>
        <w:rPr>
          <w:bCs/>
          <w:b/>
        </w:rPr>
        <w:t xml:space="preserve">Assumed Emission Factor for Disposal:</w:t>
      </w:r>
      <w:r>
        <w:t xml:space="preserve"> </w:t>
      </w:r>
      <w:r>
        <w:t xml:space="preserve">0.5 kg CO2e/kg (for incineration/landfill with energy recovery, highly variable)</w:t>
      </w:r>
    </w:p>
    <w:p>
      <w:pPr>
        <w:numPr>
          <w:ilvl w:val="0"/>
          <w:numId w:val="1018"/>
        </w:numPr>
        <w:pStyle w:val="Compact"/>
      </w:pPr>
      <w:r>
        <w:rPr>
          <w:bCs/>
          <w:b/>
        </w:rPr>
        <w:t xml:space="preserve">Assumed Avoided Emissions from Recycling:</w:t>
      </w:r>
      <w:r>
        <w:t xml:space="preserve"> </w:t>
      </w:r>
      <w:r>
        <w:t xml:space="preserve">-1.0 kg CO2e/kg (for mixed materials, generalized net benefit as recycling avoids virgin material production)</w:t>
      </w:r>
    </w:p>
    <w:p>
      <w:pPr>
        <w:numPr>
          <w:ilvl w:val="0"/>
          <w:numId w:val="1019"/>
        </w:numPr>
        <w:pStyle w:val="Compact"/>
      </w:pPr>
      <w:r>
        <w:rPr>
          <w:bCs/>
          <w:b/>
        </w:rPr>
        <w:t xml:space="preserve">Disposal Emissions:</w:t>
      </w:r>
      <w:r>
        <w:t xml:space="preserve"> </w:t>
      </w:r>
      <w:r>
        <w:t xml:space="preserve">0.125 kg * 0.5 kg CO2e/kg = 0.0625 kg CO2e/unit</w:t>
      </w:r>
    </w:p>
    <w:p>
      <w:pPr>
        <w:numPr>
          <w:ilvl w:val="0"/>
          <w:numId w:val="1019"/>
        </w:numPr>
        <w:pStyle w:val="Compact"/>
      </w:pPr>
      <w:r>
        <w:rPr>
          <w:bCs/>
          <w:b/>
        </w:rPr>
        <w:t xml:space="preserve">Recycling Benefit:</w:t>
      </w:r>
      <w:r>
        <w:t xml:space="preserve"> </w:t>
      </w:r>
      <w:r>
        <w:t xml:space="preserve">(0.5 kg * 0.75) * -1.0 kg CO2e/kg = -0.375 kg CO2e/unit</w:t>
      </w:r>
    </w:p>
    <w:p>
      <w:pPr>
        <w:pStyle w:val="FirstParagraph"/>
      </w:pPr>
      <w:r>
        <w:rPr>
          <w:bCs/>
          <w:b/>
        </w:rPr>
        <w:t xml:space="preserve">Net End-of-Life Emissions: 0.0625 - 0.375 = -0.3125 kg CO2e/unit (Rounded to -0.31 kg CO2e/unit)</w:t>
      </w:r>
    </w:p>
    <w:p>
      <w:r>
        <w:pict>
          <v:rect style="width:0;height:1.5pt" o:hralign="center" o:hrstd="t" o:hr="t"/>
        </w:pict>
      </w:r>
    </w:p>
    <w:bookmarkEnd w:id="39"/>
    <w:bookmarkEnd w:id="40"/>
    <w:bookmarkStart w:id="43" w:name="product-carbon-footprint-summary"/>
    <w:p>
      <w:pPr>
        <w:pStyle w:val="Heading2"/>
      </w:pPr>
      <w:r>
        <w:t xml:space="preserve">5. Product Carbon Footprint Summary</w:t>
      </w:r>
    </w:p>
    <w:p>
      <w:pPr>
        <w:pStyle w:val="FirstParagraph"/>
      </w:pPr>
      <w:r>
        <w:t xml:space="preserve">The total Product Carbon Footprint for one functional unit of \'udvdyywjuw\' is summarized below, broken down by lifecycle stage and GHG Protocol Scope.</w:t>
      </w:r>
    </w:p>
    <w:bookmarkStart w:id="41" w:name="total-pcf-by-lifecycle-stage"/>
    <w:p>
      <w:pPr>
        <w:pStyle w:val="Heading3"/>
      </w:pPr>
      <w:r>
        <w:t xml:space="preserve">5.1. Total PCF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Raw Material Acquisition &amp; Pre-processing</w:t>
            </w:r>
          </w:p>
        </w:tc>
        <w:tc>
          <w:tcPr/>
          <w:p>
            <w:pPr>
              <w:pStyle w:val="Compact"/>
              <w:jc w:val="left"/>
            </w:pPr>
            <w:r>
              <w:t xml:space="preserve">31.74</w:t>
            </w:r>
          </w:p>
        </w:tc>
        <w:tc>
          <w:tcPr/>
          <w:p>
            <w:pPr>
              <w:pStyle w:val="Compact"/>
              <w:jc w:val="left"/>
            </w:pPr>
            <w:r>
              <w:t xml:space="preserve">85.9%</w:t>
            </w:r>
          </w:p>
        </w:tc>
      </w:tr>
      <w:tr>
        <w:tc>
          <w:tcPr/>
          <w:p>
            <w:pPr>
              <w:pStyle w:val="Compact"/>
              <w:jc w:val="left"/>
            </w:pPr>
            <w:r>
              <w:t xml:space="preserve">Manufacturing / Production</w:t>
            </w:r>
          </w:p>
        </w:tc>
        <w:tc>
          <w:tcPr/>
          <w:p>
            <w:pPr>
              <w:pStyle w:val="Compact"/>
              <w:jc w:val="left"/>
            </w:pPr>
            <w:r>
              <w:t xml:space="preserve">0.72</w:t>
            </w:r>
          </w:p>
        </w:tc>
        <w:tc>
          <w:tcPr/>
          <w:p>
            <w:pPr>
              <w:pStyle w:val="Compact"/>
              <w:jc w:val="left"/>
            </w:pPr>
            <w:r>
              <w:t xml:space="preserve">1.9%</w:t>
            </w:r>
          </w:p>
        </w:tc>
      </w:tr>
      <w:tr>
        <w:tc>
          <w:tcPr/>
          <w:p>
            <w:pPr>
              <w:pStyle w:val="Compact"/>
              <w:jc w:val="left"/>
            </w:pPr>
            <w:r>
              <w:t xml:space="preserve">Transport &amp; Distribution (Upstream &amp; Downstream)</w:t>
            </w:r>
          </w:p>
        </w:tc>
        <w:tc>
          <w:tcPr/>
          <w:p>
            <w:pPr>
              <w:pStyle w:val="Compact"/>
              <w:jc w:val="left"/>
            </w:pPr>
            <w:r>
              <w:t xml:space="preserve">0.29</w:t>
            </w:r>
          </w:p>
        </w:tc>
        <w:tc>
          <w:tcPr/>
          <w:p>
            <w:pPr>
              <w:pStyle w:val="Compact"/>
              <w:jc w:val="left"/>
            </w:pPr>
            <w:r>
              <w:t xml:space="preserve">0.8%</w:t>
            </w:r>
          </w:p>
        </w:tc>
      </w:tr>
      <w:tr>
        <w:tc>
          <w:tcPr/>
          <w:p>
            <w:pPr>
              <w:pStyle w:val="Compact"/>
              <w:jc w:val="left"/>
            </w:pPr>
            <w:r>
              <w:t xml:space="preserve">Use Phase</w:t>
            </w:r>
          </w:p>
        </w:tc>
        <w:tc>
          <w:tcPr/>
          <w:p>
            <w:pPr>
              <w:pStyle w:val="Compact"/>
              <w:jc w:val="left"/>
            </w:pPr>
            <w:r>
              <w:t xml:space="preserve">4.50</w:t>
            </w:r>
          </w:p>
        </w:tc>
        <w:tc>
          <w:tcPr/>
          <w:p>
            <w:pPr>
              <w:pStyle w:val="Compact"/>
              <w:jc w:val="left"/>
            </w:pPr>
            <w:r>
              <w:t xml:space="preserve">12.2%</w:t>
            </w:r>
          </w:p>
        </w:tc>
      </w:tr>
      <w:tr>
        <w:tc>
          <w:tcPr/>
          <w:p>
            <w:pPr>
              <w:pStyle w:val="Compact"/>
              <w:jc w:val="left"/>
            </w:pPr>
            <w:r>
              <w:t xml:space="preserve">End-of-Life (Net)</w:t>
            </w:r>
          </w:p>
        </w:tc>
        <w:tc>
          <w:tcPr/>
          <w:p>
            <w:pPr>
              <w:pStyle w:val="Compact"/>
              <w:jc w:val="left"/>
            </w:pPr>
            <w:r>
              <w:t xml:space="preserve">-0.31</w:t>
            </w:r>
          </w:p>
        </w:tc>
        <w:tc>
          <w:tcPr/>
          <w:p>
            <w:pPr>
              <w:pStyle w:val="Compact"/>
              <w:jc w:val="left"/>
            </w:pPr>
            <w:r>
              <w:t xml:space="preserve">-0.8%</w:t>
            </w:r>
          </w:p>
        </w:tc>
      </w:tr>
      <w:tr>
        <w:tc>
          <w:tcPr/>
          <w:p>
            <w:pPr>
              <w:pStyle w:val="Compact"/>
              <w:jc w:val="left"/>
            </w:pPr>
            <w:r>
              <w:t xml:space="preserve">TOTAL PRODUCT CARBON FOOTPRINT</w:t>
            </w:r>
          </w:p>
        </w:tc>
        <w:tc>
          <w:tcPr/>
          <w:p>
            <w:pPr>
              <w:pStyle w:val="Compact"/>
              <w:jc w:val="left"/>
            </w:pPr>
            <w:r>
              <w:t xml:space="preserve">36.94</w:t>
            </w:r>
          </w:p>
        </w:tc>
        <w:tc>
          <w:tcPr/>
          <w:p>
            <w:pPr>
              <w:pStyle w:val="Compact"/>
              <w:jc w:val="left"/>
            </w:pPr>
            <w:r>
              <w:t xml:space="preserve">100.0%</w:t>
            </w:r>
          </w:p>
        </w:tc>
      </w:tr>
    </w:tbl>
    <w:p>
      <w:pPr>
        <w:pStyle w:val="BodyText"/>
      </w:pPr>
      <w:r>
        <w:rPr>
          <w:bCs/>
          <w:b/>
        </w:rPr>
        <w:t xml:space="preserve">Total PCF for udvdyywjuw: 36.94 kg CO2e/unit</w:t>
      </w:r>
    </w:p>
    <w:bookmarkEnd w:id="41"/>
    <w:bookmarkStart w:id="42" w:name="pcf-by-ghg-protocol-scope"/>
    <w:p>
      <w:pPr>
        <w:pStyle w:val="Heading3"/>
      </w:pPr>
      <w:r>
        <w:t xml:space="preserve">5.2. PCF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 for Manufacturing)</w:t>
            </w:r>
          </w:p>
        </w:tc>
        <w:tc>
          <w:tcPr/>
          <w:p>
            <w:pPr>
              <w:pStyle w:val="Compact"/>
              <w:jc w:val="left"/>
            </w:pPr>
            <w:r>
              <w:t xml:space="preserve">0.72</w:t>
            </w:r>
          </w:p>
        </w:tc>
        <w:tc>
          <w:tcPr/>
          <w:p>
            <w:pPr>
              <w:pStyle w:val="Compact"/>
              <w:jc w:val="left"/>
            </w:pPr>
            <w:r>
              <w:t xml:space="preserve">1.9%</w:t>
            </w:r>
          </w:p>
        </w:tc>
      </w:tr>
      <w:tr>
        <w:tc>
          <w:tcPr/>
          <w:p>
            <w:pPr>
              <w:pStyle w:val="Compact"/>
              <w:jc w:val="left"/>
            </w:pPr>
            <w:r>
              <w:t xml:space="preserve">Scope 3 (Value Chain Emissions)</w:t>
            </w:r>
          </w:p>
        </w:tc>
        <w:tc>
          <w:tcPr/>
          <w:p>
            <w:pPr>
              <w:pStyle w:val="Compact"/>
              <w:jc w:val="left"/>
            </w:pPr>
            <w:r>
              <w:t xml:space="preserve">36.22</w:t>
            </w:r>
          </w:p>
        </w:tc>
        <w:tc>
          <w:tcPr/>
          <w:p>
            <w:pPr>
              <w:pStyle w:val="Compact"/>
              <w:jc w:val="left"/>
            </w:pPr>
            <w:r>
              <w:t xml:space="preserve">98.1%</w:t>
            </w:r>
          </w:p>
        </w:tc>
      </w:tr>
      <w:tr>
        <w:tc>
          <w:tcPr/>
          <w:p>
            <w:pPr>
              <w:pStyle w:val="Compact"/>
              <w:jc w:val="left"/>
            </w:pPr>
            <w:r>
              <w:t xml:space="preserve">TOTAL PRODUCT CARBON FOOTPRINT</w:t>
            </w:r>
          </w:p>
        </w:tc>
        <w:tc>
          <w:tcPr/>
          <w:p>
            <w:pPr>
              <w:pStyle w:val="Compact"/>
              <w:jc w:val="left"/>
            </w:pPr>
            <w:r>
              <w:t xml:space="preserve">36.94</w:t>
            </w:r>
          </w:p>
        </w:tc>
        <w:tc>
          <w:tcPr/>
          <w:p>
            <w:pPr>
              <w:pStyle w:val="Compact"/>
              <w:jc w:val="left"/>
            </w:pPr>
            <w:r>
              <w:t xml:space="preserve">100.0%</w:t>
            </w:r>
          </w:p>
        </w:tc>
      </w:tr>
    </w:tbl>
    <w:p>
      <w:pPr>
        <w:pStyle w:val="BodyText"/>
      </w:pPr>
      <w:r>
        <w:rPr>
          <w:iCs/>
          <w:i/>
        </w:rPr>
        <w:t xml:space="preserve">Note: Scope 3 calculation includes Raw Material Acquisition, Transport, Use Phase, and End-of-Life. The 95% Scope 3 coverage requirement for 2026 is met, with calculated Scope 3 emissions representing 98.1% of the total PCF.</w:t>
      </w:r>
    </w:p>
    <w:p>
      <w:r>
        <w:pict>
          <v:rect style="width:0;height:1.5pt" o:hralign="center" o:hrstd="t" o:hr="t"/>
        </w:pict>
      </w:r>
    </w:p>
    <w:bookmarkEnd w:id="42"/>
    <w:bookmarkEnd w:id="43"/>
    <w:bookmarkStart w:id="49" w:name="Xdf5b07abc4bb4bdb3fb23a4ecaecbef3cf27ce6"/>
    <w:p>
      <w:pPr>
        <w:pStyle w:val="Heading2"/>
      </w:pPr>
      <w:r>
        <w:t xml:space="preserve">6. Review &amp; Reporting - Hotspots and Reliability</w:t>
      </w:r>
    </w:p>
    <w:bookmarkStart w:id="44" w:name="key-emission-hotspots"/>
    <w:p>
      <w:pPr>
        <w:pStyle w:val="Heading3"/>
      </w:pPr>
      <w:r>
        <w:t xml:space="preserve">6.1. Key Emission Hotspots</w:t>
      </w:r>
    </w:p>
    <w:p>
      <w:pPr>
        <w:pStyle w:val="FirstParagraph"/>
      </w:pPr>
      <w:r>
        <w:t xml:space="preserve">The analysis reveals the following hotspots for \'udvdyywjuw\':</w:t>
      </w:r>
    </w:p>
    <w:p>
      <w:pPr>
        <w:numPr>
          <w:ilvl w:val="0"/>
          <w:numId w:val="1020"/>
        </w:numPr>
        <w:pStyle w:val="Compact"/>
      </w:pPr>
      <w:r>
        <w:rPr>
          <w:bCs/>
          <w:b/>
        </w:rPr>
        <w:t xml:space="preserve">Raw Material Acquisition (85.9%):</w:t>
      </w:r>
      <w:r>
        <w:t xml:space="preserve"> </w:t>
      </w:r>
      <w:r>
        <w:t xml:space="preserve">This is the most significant contributor, primarily driven by high-impact components such as the Printed Circuit Board, Lithium-ion Battery, and Semiconductor Chips. Material selection and sourcing play a critical role in reducing the overall footprint.</w:t>
      </w:r>
    </w:p>
    <w:p>
      <w:pPr>
        <w:numPr>
          <w:ilvl w:val="0"/>
          <w:numId w:val="1020"/>
        </w:numPr>
        <w:pStyle w:val="Compact"/>
      </w:pPr>
      <w:r>
        <w:rPr>
          <w:bCs/>
          <w:b/>
        </w:rPr>
        <w:t xml:space="preserve">Use Phase (12.2%):</w:t>
      </w:r>
      <w:r>
        <w:t xml:space="preserve"> </w:t>
      </w:r>
      <w:r>
        <w:t xml:space="preserve">Energy consumption during the product\'s 3-year lifespan accounts for a substantial portion of the footprint. Improving energy efficiency of the device during its operational life is crucial.</w:t>
      </w:r>
    </w:p>
    <w:p>
      <w:pPr>
        <w:numPr>
          <w:ilvl w:val="0"/>
          <w:numId w:val="1020"/>
        </w:numPr>
        <w:pStyle w:val="Compact"/>
      </w:pPr>
      <w:r>
        <w:rPr>
          <w:bCs/>
          <w:b/>
        </w:rPr>
        <w:t xml:space="preserve">Manufacturing (1.9%):</w:t>
      </w:r>
      <w:r>
        <w:t xml:space="preserve"> </w:t>
      </w:r>
      <w:r>
        <w:t xml:space="preserve">Emissions from the manufacturing facility are relatively low, benefiting from the assumed 60% renewable energy usage. Further increasing renewable energy sourcing will reduce this impact.</w:t>
      </w:r>
    </w:p>
    <w:p>
      <w:pPr>
        <w:numPr>
          <w:ilvl w:val="0"/>
          <w:numId w:val="1020"/>
        </w:numPr>
        <w:pStyle w:val="Compact"/>
      </w:pPr>
      <w:r>
        <w:rPr>
          <w:bCs/>
          <w:b/>
        </w:rPr>
        <w:t xml:space="preserve">Transport (0.8%):</w:t>
      </w:r>
      <w:r>
        <w:t xml:space="preserve"> </w:t>
      </w:r>
      <w:r>
        <w:t xml:space="preserve">Emissions from logistics are relatively low due to the efficiency of ocean freight for long distances, but can be further optimized by reducing distances or shifting to lower-carbon transport options where feasible.</w:t>
      </w:r>
    </w:p>
    <w:p>
      <w:pPr>
        <w:numPr>
          <w:ilvl w:val="0"/>
          <w:numId w:val="1020"/>
        </w:numPr>
        <w:pStyle w:val="Compact"/>
      </w:pPr>
      <w:r>
        <w:rPr>
          <w:bCs/>
          <w:b/>
        </w:rPr>
        <w:t xml:space="preserve">End-of-Life (Net Benefit):</w:t>
      </w:r>
      <w:r>
        <w:t xml:space="preserve"> </w:t>
      </w:r>
      <w:r>
        <w:t xml:space="preserve">The high recyclability percentage and assumed take-back program result in a net carbon benefit, highlighting the positive impact of circular economy initiatives and potential for material recovery.</w:t>
      </w:r>
    </w:p>
    <w:bookmarkEnd w:id="44"/>
    <w:bookmarkStart w:id="45" w:name="reliability-and-limitations"/>
    <w:p>
      <w:pPr>
        <w:pStyle w:val="Heading3"/>
      </w:pPr>
      <w:r>
        <w:t xml:space="preserve">6.2. Reliability and Limitations</w:t>
      </w:r>
    </w:p>
    <w:p>
      <w:pPr>
        <w:pStyle w:val="FirstParagraph"/>
      </w:pPr>
      <w:r>
        <w:t xml:space="preserve">The reliability of this PCF is good, given the detailed methodology and adherence to the GHG Protocol. However, it\'s subject to the following limitations:</w:t>
      </w:r>
    </w:p>
    <w:p>
      <w:pPr>
        <w:numPr>
          <w:ilvl w:val="0"/>
          <w:numId w:val="1021"/>
        </w:numPr>
        <w:pStyle w:val="Compact"/>
      </w:pPr>
      <w:r>
        <w:rPr>
          <w:bCs/>
          <w:b/>
        </w:rPr>
        <w:t xml:space="preserve">Assumed Data:</w:t>
      </w:r>
      <w:r>
        <w:t xml:space="preserve"> </w:t>
      </w:r>
      <w:r>
        <w:t xml:space="preserve">Many parameters (e.g., specific emission factors for materials, transport, energy grids) were based on industry averages and illustrative values due to the placeholder nature of the input parameters (e.g., `tgewhvjj`, `Select Mode`, etc.). Actual primary data from \'imitypeymy\'s specific supply chain would yield higher accuracy.</w:t>
      </w:r>
    </w:p>
    <w:p>
      <w:pPr>
        <w:numPr>
          <w:ilvl w:val="0"/>
          <w:numId w:val="1021"/>
        </w:numPr>
        <w:pStyle w:val="Compact"/>
      </w:pPr>
      <w:r>
        <w:rPr>
          <w:bCs/>
          <w:b/>
        </w:rPr>
        <w:t xml:space="preserve">Scope 3 Complexities:</w:t>
      </w:r>
      <w:r>
        <w:t xml:space="preserve"> </w:t>
      </w:r>
      <w:r>
        <w:t xml:space="preserve">While 95% Scope 3 coverage is targeted and achieved, the inherent complexity of tracing all upstream and downstream impacts means some minor elements might be estimated or fall within the acceptable exclusion threshold.</w:t>
      </w:r>
    </w:p>
    <w:p>
      <w:pPr>
        <w:numPr>
          <w:ilvl w:val="0"/>
          <w:numId w:val="1021"/>
        </w:numPr>
        <w:pStyle w:val="Compact"/>
      </w:pPr>
      <w:r>
        <w:rPr>
          <w:bCs/>
          <w:b/>
        </w:rPr>
        <w:t xml:space="preserve">LSR Standard Application:</w:t>
      </w:r>
      <w:r>
        <w:t xml:space="preserve"> </w:t>
      </w:r>
      <w:r>
        <w:t xml:space="preserve">The 2026 LSR Standard is acknowledged, but specific data on land-use change or quantifiable carbon removals for \'udvdyywjuw\' components were not available, thus only a general consideration is applied. Forest carbon accounting is explicitly not included in this version of the standard.</w:t>
      </w:r>
    </w:p>
    <w:bookmarkEnd w:id="45"/>
    <w:bookmarkStart w:id="48" w:name="recommendations-for-reduction"/>
    <w:p>
      <w:pPr>
        <w:pStyle w:val="Heading3"/>
      </w:pPr>
      <w:r>
        <w:t xml:space="preserve">6.3. Recommendations for Reduction</w:t>
      </w:r>
    </w:p>
    <w:p>
      <w:pPr>
        <w:numPr>
          <w:ilvl w:val="0"/>
          <w:numId w:val="1022"/>
        </w:numPr>
        <w:pStyle w:val="Compact"/>
      </w:pPr>
      <w:r>
        <w:rPr>
          <w:bCs/>
          <w:b/>
        </w:rPr>
        <w:t xml:space="preserve">Material Optimization:</w:t>
      </w:r>
      <w:r>
        <w:t xml:space="preserve"> </w:t>
      </w:r>
      <w:r>
        <w:t xml:space="preserve">Investigate lower-carbon alternative materials for high-impact components like PCBs, batteries, and semiconductors. Explore design for modularity to extend product life and ease component replacement.</w:t>
      </w:r>
    </w:p>
    <w:p>
      <w:pPr>
        <w:numPr>
          <w:ilvl w:val="0"/>
          <w:numId w:val="1022"/>
        </w:numPr>
        <w:pStyle w:val="Compact"/>
      </w:pPr>
      <w:r>
        <w:rPr>
          <w:bCs/>
          <w:b/>
        </w:rPr>
        <w:t xml:space="preserve">Energy Efficiency in Use:</w:t>
      </w:r>
      <w:r>
        <w:t xml:space="preserve"> </w:t>
      </w:r>
      <w:r>
        <w:t xml:space="preserve">Design \'udvdyywjuw\' for even lower power consumption during its operational lifespan. Encourage smart energy management features and educate consumers on efficient use.</w:t>
      </w:r>
    </w:p>
    <w:p>
      <w:pPr>
        <w:numPr>
          <w:ilvl w:val="0"/>
          <w:numId w:val="1022"/>
        </w:numPr>
        <w:pStyle w:val="Compact"/>
      </w:pPr>
      <w:r>
        <w:rPr>
          <w:bCs/>
          <w:b/>
        </w:rPr>
        <w:t xml:space="preserve">Renewable Energy Sourcing:</w:t>
      </w:r>
      <w:r>
        <w:t xml:space="preserve"> </w:t>
      </w:r>
      <w:r>
        <w:t xml:space="preserve">Continue to increase the share of renewable energy in manufacturing operations, aiming for 100% renewable electricity. Engage with suppliers to promote renewable energy adoption throughout the supply chain.</w:t>
      </w:r>
    </w:p>
    <w:p>
      <w:pPr>
        <w:numPr>
          <w:ilvl w:val="0"/>
          <w:numId w:val="1022"/>
        </w:numPr>
        <w:pStyle w:val="Compact"/>
      </w:pPr>
      <w:r>
        <w:rPr>
          <w:bCs/>
          <w:b/>
        </w:rPr>
        <w:t xml:space="preserve">Circular Economy Enhancement:</w:t>
      </w:r>
      <w:r>
        <w:t xml:space="preserve"> </w:t>
      </w:r>
      <w:r>
        <w:t xml:space="preserve">Strengthen take-back and recycling programs, focusing on maximizing material recovery and product refurbishment. Explore opportunities for closed-loop recycling where feasible.</w:t>
      </w:r>
    </w:p>
    <w:p>
      <w:pPr>
        <w:numPr>
          <w:ilvl w:val="0"/>
          <w:numId w:val="1022"/>
        </w:numPr>
        <w:pStyle w:val="Compact"/>
      </w:pPr>
      <w:r>
        <w:rPr>
          <w:bCs/>
          <w:b/>
        </w:rPr>
        <w:t xml:space="preserve">Supply Chain Engagement:</w:t>
      </w:r>
      <w:r>
        <w:t xml:space="preserve"> </w:t>
      </w:r>
      <w:r>
        <w:t xml:space="preserve">Collaborate with suppliers to understand and reduce the embodied carbon of purchased components, promoting transparency and best practices in emissions reduction.</w:t>
      </w:r>
    </w:p>
    <w:p>
      <w:r>
        <w:pict>
          <v:rect style="width:0;height:1.5pt" o:hralign="center" o:hrstd="t" o:hr="t"/>
        </w:pict>
      </w:r>
    </w:p>
    <w:p>
      <w:pPr>
        <w:pStyle w:val="FirstParagraph"/>
      </w:pPr>
      <w:r>
        <w:t xml:space="preserve">Confidential - Internal Use Only | Page</w:t>
      </w:r>
      <w:r>
        <w:t xml:space="preserve"> </w:t>
      </w:r>
      <w:bookmarkStart w:id="46" w:name="page-num"/>
      <w:r>
        <w:t xml:space="preserve">1</w:t>
      </w:r>
      <w:bookmarkEnd w:id="46"/>
      <w:r>
        <w:t xml:space="preserve"> </w:t>
      </w:r>
      <w:r>
        <w:t xml:space="preserve">of</w:t>
      </w:r>
      <w:r>
        <w:t xml:space="preserve"> </w:t>
      </w:r>
      <w:bookmarkStart w:id="47" w:name="page-count"/>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udvdyywjuw (Smart Home Device)</dc:title>
  <dc:creator/>
  <dc:description>Detailed Product Carbon Footprint (PCF) analysis report for udvdyywjuw, a smart home device, by imitypeymy, adhering to GHG Protocol standards and 2026 updates.</dc:description>
  <cp:keywords/>
  <dcterms:created xsi:type="dcterms:W3CDTF">2026-07-15T09:18:57Z</dcterms:created>
  <dcterms:modified xsi:type="dcterms:W3CDTF">2026-07-15T09:18:57Z</dcterms:modified>
</cp:coreProperties>
</file>

<file path=docProps/custom.xml><?xml version="1.0" encoding="utf-8"?>
<Properties xmlns="http://schemas.openxmlformats.org/officeDocument/2006/custom-properties" xmlns:vt="http://schemas.openxmlformats.org/officeDocument/2006/docPropsVTypes"/>
</file>