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udjpuxmyev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udjpuxmyev</w:t>
      </w:r>
    </w:p>
    <w:p>
      <w:pPr>
        <w:pStyle w:val="BodyText"/>
      </w:pPr>
      <w:r>
        <w:rPr>
          <w:bCs/>
          <w:b/>
        </w:rPr>
        <w:t xml:space="preserve">Company:</w:t>
      </w:r>
      <w:r>
        <w:t xml:space="preserve"> </w:t>
      </w:r>
      <w:r>
        <w:t xml:space="preserve">eoiujjrjye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ugxxtyjvrv</w:t>
      </w:r>
    </w:p>
    <w:p>
      <w:pPr>
        <w:pStyle w:val="BodyText"/>
      </w:pPr>
      <w:r>
        <w:t xml:space="preserve">This report is generated based on available data and industry standards, providing an assessment of the product\'s carbon footprint. Actual emissions may vary based on specific operational details and real-time data which may not be fully captured.</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udjpuxmyev |</w:t>
      </w:r>
      <w:r>
        <w:t xml:space="preserve"> </w:t>
      </w:r>
      <w:r>
        <w:rPr>
          <w:bCs/>
          <w:b/>
        </w:rPr>
        <w:t xml:space="preserve">Company:</w:t>
      </w:r>
      <w:r>
        <w:t xml:space="preserve"> </w:t>
      </w:r>
      <w:r>
        <w:t xml:space="preserve">eoiujjrjye</w:t>
      </w:r>
    </w:p>
    <w:p>
      <w:pPr>
        <w:pStyle w:val="BodyText"/>
      </w:pPr>
      <w:r>
        <w:t xml:space="preserve">Generated Date: 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udjpuxmyev</w:t>
      </w:r>
      <w:r>
        <w:t xml:space="preserve">, manufactured by</w:t>
      </w:r>
      <w:r>
        <w:t xml:space="preserve"> </w:t>
      </w:r>
      <w:r>
        <w:rPr>
          <w:bCs/>
          <w:b/>
        </w:rPr>
        <w:t xml:space="preserve">eoiujjrjye</w:t>
      </w:r>
      <w:r>
        <w:t xml:space="preserve">. The analysis, conducted by Senior Sustainability Consultant</w:t>
      </w:r>
      <w:r>
        <w:t xml:space="preserve"> </w:t>
      </w:r>
      <w:r>
        <w:rPr>
          <w:bCs/>
          <w:b/>
        </w:rPr>
        <w:t xml:space="preserve">ugxxtyjvrv</w:t>
      </w:r>
      <w:r>
        <w:t xml:space="preserve">, adheres strictly to the GHG Protocol standards, including the latest 2026 Land Sector and Removals (LSR) update and stringent Scope 3 compliance requirements. The primary goal is to quantify the total greenhouse gas (GHG) emissions across the product\'s lifecycle, from raw material acquisition to end-of-life, expressed in carbon dioxide equivalents (CO2e). This assessment aims to identify emission hotspots, inform strategic decarbonization efforts, and ensure transparent environmental reporting.</w:t>
      </w:r>
    </w:p>
    <w:p>
      <w:r>
        <w:pict>
          <v:rect style="width:0;height:1.5pt" o:hralign="center" o:hrstd="t" o:hr="t"/>
        </w:pict>
      </w:r>
    </w:p>
    <w:bookmarkEnd w:id="22"/>
    <w:bookmarkStart w:id="27" w:name="introduction-and-scope-definition"/>
    <w:p>
      <w:pPr>
        <w:pStyle w:val="Heading2"/>
      </w:pPr>
      <w:r>
        <w:t xml:space="preserve">1. Introduction and Scope Definition</w:t>
      </w:r>
    </w:p>
    <w:p>
      <w:pPr>
        <w:pStyle w:val="FirstParagraph"/>
      </w:pPr>
      <w:r>
        <w:t xml:space="preserve">This section outlines the foundational parameters for the Product Carbon Footprint (PCF) analysis of</w:t>
      </w:r>
      <w:r>
        <w:t xml:space="preserve"> </w:t>
      </w:r>
      <w:r>
        <w:rPr>
          <w:bCs/>
          <w:b/>
        </w:rPr>
        <w:t xml:space="preserve">udjpuxmyev</w:t>
      </w:r>
      <w:r>
        <w:t xml:space="preserve">, ensuring alignment with the GHG Protocol’s requirements for transparency and completeness. The methodology follows a cradle-to-gate approach, as specified, with considerations for the use and end-of-life phases for a more holistic understanding.</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udjpuxmyev</w:t>
      </w:r>
      <w:r>
        <w:t xml:space="preserve">. All emissions are normalized to this unit, allowing for consistent comparison and assessment of environmental impact.</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This includes:</w:t>
      </w:r>
    </w:p>
    <w:p>
      <w:pPr>
        <w:numPr>
          <w:ilvl w:val="0"/>
          <w:numId w:val="1001"/>
        </w:numPr>
        <w:pStyle w:val="Compact"/>
      </w:pPr>
      <w:r>
        <w:rPr>
          <w:bCs/>
          <w:b/>
        </w:rPr>
        <w:t xml:space="preserve">Upstream (Cradle-to-Gate):</w:t>
      </w:r>
      <w:r>
        <w:t xml:space="preserve"> </w:t>
      </w:r>
      <w:r>
        <w:t xml:space="preserve">Raw material extraction and processing, manufacturing of components, and transportation of these materials to the eoiujjrjye production facility in China.</w:t>
      </w:r>
    </w:p>
    <w:p>
      <w:pPr>
        <w:numPr>
          <w:ilvl w:val="0"/>
          <w:numId w:val="1001"/>
        </w:numPr>
        <w:pStyle w:val="Compact"/>
      </w:pPr>
      <w:r>
        <w:rPr>
          <w:bCs/>
          <w:b/>
        </w:rPr>
        <w:t xml:space="preserve">Core Activities (Gate-to-Gate):</w:t>
      </w:r>
      <w:r>
        <w:t xml:space="preserve"> </w:t>
      </w:r>
      <w:r>
        <w:t xml:space="preserve">Manufacturing and assembly processes at the eoiujjrjye facility, including energy consumption for production.</w:t>
      </w:r>
    </w:p>
    <w:p>
      <w:pPr>
        <w:numPr>
          <w:ilvl w:val="0"/>
          <w:numId w:val="1001"/>
        </w:numPr>
        <w:pStyle w:val="Compact"/>
      </w:pPr>
      <w:r>
        <w:rPr>
          <w:bCs/>
          <w:b/>
        </w:rPr>
        <w:t xml:space="preserve">Downstream (Post-Gate Considerations):</w:t>
      </w:r>
      <w:r>
        <w:t xml:space="preserve"> </w:t>
      </w:r>
      <w:r>
        <w:t xml:space="preserve">While the primary boundary is factory_gate, this report incorporates aspects of distribution/transport to customer, product use phase, and end-of-life treatment, as specified in the parameters, to provide a more comprehensive view of the lifecycle. These downstream elements are included within the Scope 3 calculations to meet enhanced reporting requirements.</w:t>
      </w:r>
    </w:p>
    <w:bookmarkEnd w:id="24"/>
    <w:bookmarkStart w:id="25" w:name="geographic-scope"/>
    <w:p>
      <w:pPr>
        <w:pStyle w:val="Heading3"/>
      </w:pPr>
      <w:r>
        <w:t xml:space="preserve">1.3. 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directly to the functional unit (1.0 unit of udjpuxmyev) based on direct material inputs, energy consumption, and proportional impacts from shared processes or infrastructure, as per GHG Protocol guidance. Where specific data is unavailable, industry-average data for the specified regions (China for production, Europe for supply chain focus) is utilized and noted as such.</w:t>
      </w:r>
    </w:p>
    <w:p>
      <w:r>
        <w:pict>
          <v:rect style="width:0;height:1.5pt" o:hralign="center" o:hrstd="t" o:hr="t"/>
        </w:pict>
      </w:r>
    </w:p>
    <w:bookmarkEnd w:id="26"/>
    <w:bookmarkEnd w:id="27"/>
    <w:bookmarkStart w:id="33" w:name="X165b47bb5250a55c5bdeab8c531813c156fa397"/>
    <w:p>
      <w:pPr>
        <w:pStyle w:val="Heading2"/>
      </w:pPr>
      <w:r>
        <w:t xml:space="preserve">2. Lifecycle Mapping and Data Collection (Steps 2 &amp; 3)</w:t>
      </w:r>
    </w:p>
    <w:p>
      <w:pPr>
        <w:pStyle w:val="FirstParagraph"/>
      </w:pPr>
      <w:r>
        <w:t xml:space="preserve">This section details the lifecycle stages and the data points collected or estimated for the PCF analysis of</w:t>
      </w:r>
      <w:r>
        <w:t xml:space="preserve"> </w:t>
      </w:r>
      <w:r>
        <w:rPr>
          <w:bCs/>
          <w:b/>
        </w:rPr>
        <w:t xml:space="preserve">udjpuxmyev</w:t>
      </w:r>
      <w:r>
        <w:t xml:space="preserve">. The GHG Protocol categorizes emissions into Scope 1 (direct emissions), Scope 2 (purchased energy emissions), and Scope 3 (indirect value chain emissions).</w:t>
      </w:r>
    </w:p>
    <w:bookmarkStart w:id="28" w:name="X403ec3472cb076afed135b5a3abaa0efc5f63a4"/>
    <w:p>
      <w:pPr>
        <w:pStyle w:val="Heading3"/>
      </w:pPr>
      <w:r>
        <w:t xml:space="preserve">2.1. Raw Materials Acquisition and Pre-processing (Scope 3, Category 1)</w:t>
      </w:r>
    </w:p>
    <w:p>
      <w:pPr>
        <w:pStyle w:val="FirstParagraph"/>
      </w:pPr>
      <w:r>
        <w:t xml:space="preserve">The Detailed Bill of Materials (BOM) for</w:t>
      </w:r>
      <w:r>
        <w:t xml:space="preserve"> </w:t>
      </w:r>
      <w:r>
        <w:rPr>
          <w:bCs/>
          <w:b/>
        </w:rPr>
        <w:t xml:space="preserve">oysvmvum</w:t>
      </w:r>
      <w:r>
        <w:t xml:space="preserve"> </w:t>
      </w:r>
      <w:r>
        <w:t xml:space="preserve">is crucial for accurately quantifying the emissions associated with purchased goods and services. For the purpose of this report, we interpret \'oysvmvum\' as a placeholder for detailed BOM data, and we will use illustrative data following the specified format: ID, Description, Category, Process, Qty (g), Unit, Emission Factor (kg CO2e/unit), Total Carbon (kg CO2e). The \'Total Carbon\' values provided in the BOM are directly incorporated for material impact calculation.</w:t>
      </w:r>
    </w:p>
    <w:p>
      <w:pPr>
        <w:pStyle w:val="BodyText"/>
      </w:pPr>
      <w:r>
        <w:rPr>
          <w:bCs/>
          <w:b/>
        </w:rPr>
        <w:t xml:space="preserve">Illustrative Detailed Bill of Materials (BOM) Data for udjpuxmyev: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(g)</w:t>
            </w:r>
          </w:p>
        </w:tc>
        <w:tc>
          <w:tcPr/>
          <w:p>
            <w:pPr>
              <w:pStyle w:val="Compact"/>
              <w:jc w:val="left"/>
            </w:pPr>
            <w:r>
              <w:t xml:space="preserve">Unit</w:t>
            </w:r>
          </w:p>
        </w:tc>
        <w:tc>
          <w:tcPr/>
          <w:p>
            <w:pPr>
              <w:pStyle w:val="Compact"/>
              <w:jc w:val="left"/>
            </w:pPr>
            <w:r>
              <w:t xml:space="preserve">Emission Factor (kg CO2e/g)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0.002</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0.0035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0.025</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0.0005</w:t>
            </w:r>
          </w:p>
        </w:tc>
        <w:tc>
          <w:tcPr/>
          <w:p>
            <w:pPr>
              <w:pStyle w:val="Compact"/>
              <w:jc w:val="left"/>
            </w:pPr>
            <w:r>
              <w:t xml:space="preserve">0.05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30</w:t>
            </w:r>
          </w:p>
        </w:tc>
        <w:tc>
          <w:tcPr/>
          <w:p>
            <w:pPr>
              <w:pStyle w:val="Compact"/>
              <w:jc w:val="left"/>
            </w:pPr>
            <w:r>
              <w:t xml:space="preserve">g</w:t>
            </w:r>
          </w:p>
        </w:tc>
        <w:tc>
          <w:tcPr/>
          <w:p>
            <w:pPr>
              <w:pStyle w:val="Compact"/>
              <w:jc w:val="left"/>
            </w:pPr>
            <w:r>
              <w:t xml:space="preserve">0.004</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Silicone Sealant</w:t>
            </w:r>
          </w:p>
        </w:tc>
        <w:tc>
          <w:tcPr/>
          <w:p>
            <w:pPr>
              <w:pStyle w:val="Compact"/>
              <w:jc w:val="left"/>
            </w:pPr>
            <w:r>
              <w:t xml:space="preserve">Chemicals</w:t>
            </w:r>
          </w:p>
        </w:tc>
        <w:tc>
          <w:tcPr/>
          <w:p>
            <w:pPr>
              <w:pStyle w:val="Compact"/>
              <w:jc w:val="left"/>
            </w:pPr>
            <w:r>
              <w:t xml:space="preserve">Curing</w:t>
            </w:r>
          </w:p>
        </w:tc>
        <w:tc>
          <w:tcPr/>
          <w:p>
            <w:pPr>
              <w:pStyle w:val="Compact"/>
              <w:jc w:val="left"/>
            </w:pPr>
            <w:r>
              <w:t xml:space="preserve">10</w:t>
            </w:r>
          </w:p>
        </w:tc>
        <w:tc>
          <w:tcPr/>
          <w:p>
            <w:pPr>
              <w:pStyle w:val="Compact"/>
              <w:jc w:val="left"/>
            </w:pPr>
            <w:r>
              <w:t xml:space="preserve">g</w:t>
            </w:r>
          </w:p>
        </w:tc>
        <w:tc>
          <w:tcPr/>
          <w:p>
            <w:pPr>
              <w:pStyle w:val="Compact"/>
              <w:jc w:val="left"/>
            </w:pPr>
            <w:r>
              <w:t xml:space="preserve">0.008</w:t>
            </w:r>
          </w:p>
        </w:tc>
        <w:tc>
          <w:tcPr/>
          <w:p>
            <w:pPr>
              <w:pStyle w:val="Compact"/>
              <w:jc w:val="left"/>
            </w:pPr>
            <w:r>
              <w:t xml:space="preserve">0.08</w:t>
            </w:r>
          </w:p>
        </w:tc>
      </w:tr>
    </w:tbl>
    <w:p>
      <w:pPr>
        <w:pStyle w:val="BodyText"/>
      </w:pPr>
      <w:r>
        <w:rPr>
          <w:iCs/>
          <w:i/>
        </w:rPr>
        <w:t xml:space="preserve">Note: The quantities, emission factors, and total carbon values in the BOM are illustrative, based on the specified format for \'oysvmvum\'. In a real-world scenario, these would be derived from supplier-specific data or robust secondary databases like Ecoinvent.</w:t>
      </w:r>
    </w:p>
    <w:bookmarkEnd w:id="28"/>
    <w:bookmarkStart w:id="29" w:name="Xeef002a2e344f3ccea3b7c1648039b7c76c5cd7"/>
    <w:p>
      <w:pPr>
        <w:pStyle w:val="Heading3"/>
      </w:pPr>
      <w:r>
        <w:t xml:space="preserve">2.2. Transportation (Scope 3, Category 4 - Upstream; Category 9 - Downstream)</w:t>
      </w:r>
    </w:p>
    <w:p>
      <w:pPr>
        <w:pStyle w:val="FirstParagraph"/>
      </w:pPr>
      <w:r>
        <w:t xml:space="preserve">Logistics data is incorporated into the supply chain analysis. We assume the product has a typical international supply chain.</w:t>
      </w:r>
    </w:p>
    <w:p>
      <w:pPr>
        <w:numPr>
          <w:ilvl w:val="0"/>
          <w:numId w:val="1003"/>
        </w:numPr>
        <w:pStyle w:val="Compact"/>
      </w:pPr>
      <w:r>
        <w:rPr>
          <w:bCs/>
          <w:b/>
        </w:rPr>
        <w:t xml:space="preserve">Transport Mode:</w:t>
      </w:r>
      <w:r>
        <w:t xml:space="preserve"> </w:t>
      </w:r>
      <w:r>
        <w:t xml:space="preserve">Select Mode (interpreted as Ocean Freight and Road Freight)</w:t>
      </w:r>
    </w:p>
    <w:p>
      <w:pPr>
        <w:numPr>
          <w:ilvl w:val="0"/>
          <w:numId w:val="1003"/>
        </w:numPr>
        <w:pStyle w:val="Compact"/>
      </w:pPr>
      <w:r>
        <w:rPr>
          <w:bCs/>
          <w:b/>
        </w:rPr>
        <w:t xml:space="preserve">Transport Distance:</w:t>
      </w:r>
      <w:r>
        <w:t xml:space="preserve"> </w:t>
      </w:r>
      <w:r>
        <w:t xml:space="preserve">ojfjlqpwoq (e.g., 8,000 km Ocean Freight from Asia to Europe, 500 km Road Freight within Europe for raw materials/components, and 200 km for finished product distribution). These values are illustrative, assuming \'ojfjlqpwoq\' represents these distances.</w:t>
      </w:r>
    </w:p>
    <w:p>
      <w:pPr>
        <w:numPr>
          <w:ilvl w:val="0"/>
          <w:numId w:val="1003"/>
        </w:numPr>
        <w:pStyle w:val="Compact"/>
      </w:pPr>
      <w:r>
        <w:rPr>
          <w:bCs/>
          <w:b/>
        </w:rPr>
        <w:t xml:space="preserve">Last-Mile Delivery Channel:</w:t>
      </w:r>
      <w:r>
        <w:t xml:space="preserve"> </w:t>
      </w:r>
      <w:r>
        <w:t xml:space="preserve">Delivery Type (interpreted as Parcel Delivery by Van) for the final product to the customer.</w:t>
      </w:r>
    </w:p>
    <w:bookmarkEnd w:id="29"/>
    <w:bookmarkStart w:id="30" w:name="production-phase-scope-1-2"/>
    <w:p>
      <w:pPr>
        <w:pStyle w:val="Heading3"/>
      </w:pPr>
      <w:r>
        <w:t xml:space="preserve">2.3. Production Phase (Scope 1 &amp; 2)</w:t>
      </w:r>
    </w:p>
    <w:p>
      <w:pPr>
        <w:pStyle w:val="FirstParagraph"/>
      </w:pPr>
      <w:r>
        <w:t xml:space="preserve">Emissions from the manufacturing processes at the</w:t>
      </w:r>
      <w:r>
        <w:t xml:space="preserve"> </w:t>
      </w:r>
      <w:r>
        <w:rPr>
          <w:bCs/>
          <w:b/>
        </w:rPr>
        <w:t xml:space="preserve">eoiujjrjye</w:t>
      </w:r>
      <w:r>
        <w:t xml:space="preserve"> </w:t>
      </w:r>
      <w:r>
        <w:t xml:space="preserve">facility in China.</w:t>
      </w:r>
    </w:p>
    <w:p>
      <w:pPr>
        <w:numPr>
          <w:ilvl w:val="0"/>
          <w:numId w:val="1004"/>
        </w:numPr>
        <w:pStyle w:val="Compact"/>
      </w:pPr>
      <w:r>
        <w:rPr>
          <w:bCs/>
          <w:b/>
        </w:rPr>
        <w:t xml:space="preserve">Energy Intensity (kWh/unit):</w:t>
      </w:r>
      <w:r>
        <w:t xml:space="preserve"> </w:t>
      </w:r>
      <w:r>
        <w:t xml:space="preserve">krwnkswpwz (e.g., 15 kWh/unit). This value is illustrative, assuming \'krwnkswpwz\' represents this intensity.</w:t>
      </w:r>
    </w:p>
    <w:p>
      <w:pPr>
        <w:numPr>
          <w:ilvl w:val="0"/>
          <w:numId w:val="1004"/>
        </w:numPr>
        <w:pStyle w:val="Compact"/>
      </w:pPr>
      <w:r>
        <w:rPr>
          <w:bCs/>
          <w:b/>
        </w:rPr>
        <w:t xml:space="preserve">Renewable Energy Usage:</w:t>
      </w:r>
      <w:r>
        <w:t xml:space="preserve"> </w:t>
      </w:r>
      <w:r>
        <w:t xml:space="preserve">styruuqsvd (e.g., 75%). This value is illustrative, assuming \'styruuqsvd\' represents this percentage.</w:t>
      </w:r>
    </w:p>
    <w:p>
      <w:pPr>
        <w:numPr>
          <w:ilvl w:val="0"/>
          <w:numId w:val="1004"/>
        </w:numPr>
        <w:pStyle w:val="Compact"/>
      </w:pPr>
      <w:r>
        <w:rPr>
          <w:bCs/>
          <w:b/>
        </w:rPr>
        <w:t xml:space="preserve">Scope 1:</w:t>
      </w:r>
      <w:r>
        <w:t xml:space="preserve"> </w:t>
      </w:r>
      <w:r>
        <w:t xml:space="preserve">Direct emissions from owned or controlled sources (e.g., on-site fuel combustion). For this report, we assume minimal direct Scope 1 emissions, focusing on electricity use.</w:t>
      </w:r>
    </w:p>
    <w:p>
      <w:pPr>
        <w:numPr>
          <w:ilvl w:val="0"/>
          <w:numId w:val="1004"/>
        </w:numPr>
        <w:pStyle w:val="Compact"/>
      </w:pPr>
      <w:r>
        <w:rPr>
          <w:bCs/>
          <w:b/>
        </w:rPr>
        <w:t xml:space="preserve">Scope 2:</w:t>
      </w:r>
      <w:r>
        <w:t xml:space="preserve"> </w:t>
      </w:r>
      <w:r>
        <w:t xml:space="preserve">Indirect emissions from the generation of purchased electricity.</w:t>
      </w:r>
    </w:p>
    <w:bookmarkEnd w:id="30"/>
    <w:bookmarkStart w:id="31" w:name="use-phase-scope-3-category-11"/>
    <w:p>
      <w:pPr>
        <w:pStyle w:val="Heading3"/>
      </w:pPr>
      <w:r>
        <w:t xml:space="preserve">2.4. Use Phase (Scope 3, Category 11)</w:t>
      </w:r>
    </w:p>
    <w:p>
      <w:pPr>
        <w:pStyle w:val="FirstParagraph"/>
      </w:pPr>
      <w:r>
        <w:t xml:space="preserve">This phase accounts for the energy consumption during the product\'s operational lifespan.</w:t>
      </w:r>
    </w:p>
    <w:p>
      <w:pPr>
        <w:numPr>
          <w:ilvl w:val="0"/>
          <w:numId w:val="1005"/>
        </w:numPr>
        <w:pStyle w:val="Compact"/>
      </w:pPr>
      <w:r>
        <w:rPr>
          <w:bCs/>
          <w:b/>
        </w:rPr>
        <w:t xml:space="preserve">Product Lifespan:</w:t>
      </w:r>
      <w:r>
        <w:t xml:space="preserve"> </w:t>
      </w:r>
      <w:r>
        <w:t xml:space="preserve">svozelxsee (e.g., 5 years). This value is illustrative, assuming \'svozelxsee\' represents this lifespan.</w:t>
      </w:r>
    </w:p>
    <w:p>
      <w:pPr>
        <w:numPr>
          <w:ilvl w:val="0"/>
          <w:numId w:val="1005"/>
        </w:numPr>
        <w:pStyle w:val="Compact"/>
      </w:pPr>
      <w:r>
        <w:rPr>
          <w:bCs/>
          <w:b/>
        </w:rPr>
        <w:t xml:space="preserve">Energy Consumption in Use:</w:t>
      </w:r>
      <w:r>
        <w:t xml:space="preserve"> </w:t>
      </w:r>
      <w:r>
        <w:t xml:space="preserve">kjuujmttnk (e.g., 10 kWh/year). This value is illustrative, assuming \'kjuujmttnk\' represents this annual consumption.</w:t>
      </w:r>
    </w:p>
    <w:bookmarkEnd w:id="31"/>
    <w:bookmarkStart w:id="32" w:name="X210143e50433bf4e7687bdfefe45c681f300a44"/>
    <w:p>
      <w:pPr>
        <w:pStyle w:val="Heading3"/>
      </w:pPr>
      <w:r>
        <w:t xml:space="preserve">2.5. End-of-Life (EoL) Phase (Scope 3, Category 12)</w:t>
      </w:r>
    </w:p>
    <w:p>
      <w:pPr>
        <w:pStyle w:val="FirstParagraph"/>
      </w:pPr>
      <w:r>
        <w:t xml:space="preserve">The emissions or avoided emissions associated with the product\'s disposal or recovery.</w:t>
      </w:r>
    </w:p>
    <w:p>
      <w:pPr>
        <w:numPr>
          <w:ilvl w:val="0"/>
          <w:numId w:val="1006"/>
        </w:numPr>
        <w:pStyle w:val="Compact"/>
      </w:pPr>
      <w:r>
        <w:rPr>
          <w:bCs/>
          <w:b/>
        </w:rPr>
        <w:t xml:space="preserve">Recyclability Percentage:</w:t>
      </w:r>
      <w:r>
        <w:t xml:space="preserve"> </w:t>
      </w:r>
      <w:r>
        <w:t xml:space="preserve">qtjspxifhs (e.g., 80%). This value is illustrative, assuming \'qtjspxifhs\' represents this percentage.</w:t>
      </w:r>
    </w:p>
    <w:p>
      <w:pPr>
        <w:numPr>
          <w:ilvl w:val="0"/>
          <w:numId w:val="1006"/>
        </w:numPr>
        <w:pStyle w:val="Compact"/>
      </w:pPr>
      <w:r>
        <w:rPr>
          <w:bCs/>
          <w:b/>
        </w:rPr>
        <w:t xml:space="preserve">Circular/Take-back Programs:</w:t>
      </w:r>
      <w:r>
        <w:t xml:space="preserve"> </w:t>
      </w:r>
      <w:r>
        <w:t xml:space="preserve">wtfhxsvetg (e.g., "Established take-back program with refurbishment options to maximize material recovery and minimize waste"). This value is illustrative, assuming \'wtfhxsvetg\' represents this description.</w:t>
      </w:r>
    </w:p>
    <w:p>
      <w:r>
        <w:pict>
          <v:rect style="width:0;height:1.5pt" o:hralign="center" o:hrstd="t" o:hr="t"/>
        </w:pict>
      </w:r>
    </w:p>
    <w:bookmarkEnd w:id="32"/>
    <w:bookmarkEnd w:id="33"/>
    <w:bookmarkStart w:id="41" w:name="emissions-calculation-step-4"/>
    <w:p>
      <w:pPr>
        <w:pStyle w:val="Heading2"/>
      </w:pPr>
      <w:r>
        <w:t xml:space="preserve">3. Emissions Calculation (Step 4)</w:t>
      </w:r>
    </w:p>
    <w:p>
      <w:pPr>
        <w:pStyle w:val="FirstParagraph"/>
      </w:pPr>
      <w:r>
        <w:t xml:space="preserve">Emissions are calculated using the formula: Activity Data × Emission Factor = CO2e. Industry-standard emission factors are applied, drawing from reputable sources like DEFRA and IEA data where specific BOM factors are not provided. Where specific data for the provided parameters is symbolic (e.g., \'Select Mode\'), illustrative, representative values are used and clearly stated.</w:t>
      </w:r>
    </w:p>
    <w:bookmarkStart w:id="34" w:name="X9c150a6b5d47b56d55a6d95148877c0dcc2e3ad"/>
    <w:p>
      <w:pPr>
        <w:pStyle w:val="Heading3"/>
      </w:pPr>
      <w:r>
        <w:t xml:space="preserve">3.1. Emission Factors Used (Illustrative &amp; Referenced)</w:t>
      </w:r>
    </w:p>
    <w:p>
      <w:pPr>
        <w:pStyle w:val="FirstParagraph"/>
      </w:pPr>
      <w:r>
        <w:t xml:space="preserve">For parameters where specific numerical emission factors were not provided in the prompt, representative industry average factors (expressed in kg CO2e) are used for illustration. These factors are based on generally accepted values and publicly available databases but are not derived from real-time database queries for this report. The specific \'Total Carbon\' values from the BOM are used directly for material impacts. Emission factors for electricity in China are considered, as well as transport modes.</w:t>
      </w:r>
    </w:p>
    <w:p>
      <w:pPr>
        <w:numPr>
          <w:ilvl w:val="0"/>
          <w:numId w:val="1007"/>
        </w:numPr>
        <w:pStyle w:val="Compact"/>
      </w:pPr>
      <w:r>
        <w:rPr>
          <w:bCs/>
          <w:b/>
        </w:rPr>
        <w:t xml:space="preserve">Electricity Grid (China):</w:t>
      </w:r>
      <w:r>
        <w:t xml:space="preserve"> </w:t>
      </w:r>
      <w:r>
        <w:t xml:space="preserve">Approximately 0.55 kg CO2e/kWh (national average for China). Specific values vary by province, but the national average is used here for a general estimate. In 2020, provinces like Jilin, Tianjin, Shanxi, Inner Mongolia, and Hebei had Grid Carbon Footprint Factor (GCFF) values exceeding 1.0 kg CO2e kWh-1, though these declined by 2022.</w:t>
      </w:r>
    </w:p>
    <w:p>
      <w:pPr>
        <w:numPr>
          <w:ilvl w:val="0"/>
          <w:numId w:val="1007"/>
        </w:numPr>
        <w:pStyle w:val="Compact"/>
      </w:pPr>
      <w:r>
        <w:rPr>
          <w:bCs/>
          <w:b/>
        </w:rPr>
        <w:t xml:space="preserve">Renewable Electricity (e.g., Wind/Solar):</w:t>
      </w:r>
      <w:r>
        <w:t xml:space="preserve"> </w:t>
      </w:r>
      <w:r>
        <w:t xml:space="preserve">~0.01 kg CO2e/kWh (lifecycle emissions from infrastructure, operational emissions are near zero).</w:t>
      </w:r>
    </w:p>
    <w:p>
      <w:pPr>
        <w:numPr>
          <w:ilvl w:val="0"/>
          <w:numId w:val="1007"/>
        </w:numPr>
        <w:pStyle w:val="Compact"/>
      </w:pPr>
      <w:r>
        <w:rPr>
          <w:bCs/>
          <w:b/>
        </w:rPr>
        <w:t xml:space="preserve">Ocean Freight (Container Ship):</w:t>
      </w:r>
      <w:r>
        <w:t xml:space="preserve"> </w:t>
      </w:r>
      <w:r>
        <w:t xml:space="preserve">~0.016 kg CO2e/tonne-km. Some sources report 10-20 g CO2e/tkm.</w:t>
      </w:r>
    </w:p>
    <w:p>
      <w:pPr>
        <w:numPr>
          <w:ilvl w:val="0"/>
          <w:numId w:val="1007"/>
        </w:numPr>
        <w:pStyle w:val="Compact"/>
      </w:pPr>
      <w:r>
        <w:rPr>
          <w:bCs/>
          <w:b/>
        </w:rPr>
        <w:t xml:space="preserve">Road Freight (HGV, EU average):</w:t>
      </w:r>
      <w:r>
        <w:t xml:space="preserve"> </w:t>
      </w:r>
      <w:r>
        <w:t xml:space="preserve">~0.09 kg CO2e/tonne-km. Other sources give 0.05-0.15 kg CO2e/tkm.</w:t>
      </w:r>
    </w:p>
    <w:p>
      <w:pPr>
        <w:numPr>
          <w:ilvl w:val="0"/>
          <w:numId w:val="1007"/>
        </w:numPr>
        <w:pStyle w:val="Compact"/>
      </w:pPr>
      <w:r>
        <w:rPr>
          <w:bCs/>
          <w:b/>
        </w:rPr>
        <w:t xml:space="preserve">Parcel Delivery (Van):</w:t>
      </w:r>
      <w:r>
        <w:t xml:space="preserve"> </w:t>
      </w:r>
      <w:r>
        <w:t xml:space="preserve">~0.2 kg CO2e/unit-km (simplified, accounting for typical parcel weight and last-mile efficiency).</w:t>
      </w:r>
    </w:p>
    <w:p>
      <w:pPr>
        <w:numPr>
          <w:ilvl w:val="0"/>
          <w:numId w:val="1007"/>
        </w:numPr>
        <w:pStyle w:val="Compact"/>
      </w:pPr>
      <w:r>
        <w:rPr>
          <w:bCs/>
          <w:b/>
        </w:rPr>
        <w:t xml:space="preserve">Waste to Landfill (Mixed Waste/Plastic):</w:t>
      </w:r>
      <w:r>
        <w:t xml:space="preserve"> </w:t>
      </w:r>
      <w:r>
        <w:t xml:space="preserve">~2.5 kg CO2e/kg for non-recyclable plastic (can vary significantly). Some sources estimate 33 kg CO2e per tonne of plastic waste in landfill.</w:t>
      </w:r>
    </w:p>
    <w:p>
      <w:pPr>
        <w:numPr>
          <w:ilvl w:val="0"/>
          <w:numId w:val="1007"/>
        </w:numPr>
        <w:pStyle w:val="Compact"/>
      </w:pPr>
      <w:r>
        <w:rPr>
          <w:bCs/>
          <w:b/>
        </w:rPr>
        <w:t xml:space="preserve">Recycling Process (Mixed materials):</w:t>
      </w:r>
      <w:r>
        <w:t xml:space="preserve"> </w:t>
      </w:r>
      <w:r>
        <w:t xml:space="preserve">For plastics, recycling can produce around 202 kg CO2e per tonne of recycled material produced from waste. For cardboard, recycled cardboard emits around 1 kg CO2e/kg, compared to 1.2 kg CO2e/kg for new cardboard. Another source indicates 0.82 kg CO2e/kg for recycled corrugated cardboard.</w:t>
      </w:r>
    </w:p>
    <w:p>
      <w:pPr>
        <w:pStyle w:val="FirstParagraph"/>
      </w:pPr>
      <w:r>
        <w:rPr>
          <w:iCs/>
          <w:i/>
        </w:rPr>
        <w:t xml:space="preserve">These are general industry averages. More precise calculations would use specific supplier data and country-specific, up-to-date emission factors from commercial databases or official government sources like Ecoinvent or DEFRA.</w:t>
      </w:r>
    </w:p>
    <w:bookmarkEnd w:id="34"/>
    <w:bookmarkStart w:id="38" w:name="X7409475ee368eeb12231484b06beb8752b32f4e"/>
    <w:p>
      <w:pPr>
        <w:pStyle w:val="Heading3"/>
      </w:pPr>
      <w:r>
        <w:t xml:space="preserve">3.2. Lifecycle GHG Emissions Calculation by Scope and Category</w:t>
      </w:r>
    </w:p>
    <w:p>
      <w:pPr>
        <w:pStyle w:val="FirstParagraph"/>
      </w:pPr>
      <w:r>
        <w:t xml:space="preserve">All calculations are expressed in kg CO2e. The total carbon from the BOM is directly summed for material impacts.</w:t>
      </w:r>
    </w:p>
    <w:bookmarkStart w:id="35" w:name="scope-3-emissions-value-chain"/>
    <w:p>
      <w:pPr>
        <w:pStyle w:val="Heading4"/>
      </w:pPr>
      <w:r>
        <w:t xml:space="preserve">3.2.1. Scope 3 Emissions (Value Chain)</w:t>
      </w:r>
    </w:p>
    <w:p>
      <w:pPr>
        <w:pStyle w:val="FirstParagraph"/>
      </w:pPr>
      <w:r>
        <w:rPr>
          <w:bCs/>
          <w:b/>
        </w:rPr>
        <w:t xml:space="preserve">Category 1: Purchased Goods and Services (Materials)</w:t>
      </w:r>
    </w:p>
    <w:p>
      <w:pPr>
        <w:pStyle w:val="BodyText"/>
      </w:pPr>
      <w:r>
        <w:t xml:space="preserve">Based on the illustrative BOM, the sum of "Total Carbon" directly provided in the BOM for each material:</w:t>
      </w:r>
    </w:p>
    <w:p>
      <w:pPr>
        <w:numPr>
          <w:ilvl w:val="0"/>
          <w:numId w:val="1008"/>
        </w:numPr>
        <w:pStyle w:val="Compact"/>
      </w:pPr>
      <w:r>
        <w:t xml:space="preserve">Steel Casing: 1.0 kg CO2e</w:t>
      </w:r>
    </w:p>
    <w:p>
      <w:pPr>
        <w:numPr>
          <w:ilvl w:val="0"/>
          <w:numId w:val="1008"/>
        </w:numPr>
        <w:pStyle w:val="Compact"/>
      </w:pPr>
      <w:r>
        <w:t xml:space="preserve">Plastic Enclosure (ABS): 0.7 kg CO2e</w:t>
      </w:r>
    </w:p>
    <w:p>
      <w:pPr>
        <w:numPr>
          <w:ilvl w:val="0"/>
          <w:numId w:val="1008"/>
        </w:numPr>
        <w:pStyle w:val="Compact"/>
      </w:pPr>
      <w:r>
        <w:t xml:space="preserve">Circuit Board (PCB): 1.25 kg CO2e. The production of a single square meter of PCB can emit around 60-70 kg of CO2 equivalent.</w:t>
      </w:r>
    </w:p>
    <w:p>
      <w:pPr>
        <w:numPr>
          <w:ilvl w:val="0"/>
          <w:numId w:val="1008"/>
        </w:numPr>
        <w:pStyle w:val="Compact"/>
      </w:pPr>
      <w:r>
        <w:t xml:space="preserve">Packaging Cardboard: 0.05 kg CO2e. An average of 326 kg of CO2 is emitted per ton of cartonboard packaging produced in Europe. Other sources suggest 0.94 kg CO2e/kg for corrugated cardboard boxes.</w:t>
      </w:r>
    </w:p>
    <w:p>
      <w:pPr>
        <w:numPr>
          <w:ilvl w:val="0"/>
          <w:numId w:val="1008"/>
        </w:numPr>
        <w:pStyle w:val="Compact"/>
      </w:pPr>
      <w:r>
        <w:t xml:space="preserve">Copper Wire: 0.12 kg CO2e</w:t>
      </w:r>
    </w:p>
    <w:p>
      <w:pPr>
        <w:numPr>
          <w:ilvl w:val="0"/>
          <w:numId w:val="1008"/>
        </w:numPr>
        <w:pStyle w:val="Compact"/>
      </w:pPr>
      <w:r>
        <w:t xml:space="preserve">Silicone Sealant: 0.08 kg CO2e</w:t>
      </w:r>
    </w:p>
    <w:p>
      <w:pPr>
        <w:pStyle w:val="FirstParagraph"/>
      </w:pPr>
      <w:r>
        <w:rPr>
          <w:bCs/>
          <w:b/>
        </w:rPr>
        <w:t xml:space="preserve">Total Scope 3, Category 1 Emissions:</w:t>
      </w:r>
      <w:r>
        <w:t xml:space="preserve"> </w:t>
      </w:r>
      <w:r>
        <w:t xml:space="preserve">1.0 + 0.7 + 1.25 + 0.05 + 0.12 + 0.08 =</w:t>
      </w:r>
      <w:r>
        <w:t xml:space="preserve"> </w:t>
      </w:r>
      <w:r>
        <w:rPr>
          <w:bCs/>
          <w:b/>
        </w:rPr>
        <w:t xml:space="preserve">3.2 kg CO2e</w:t>
      </w:r>
    </w:p>
    <w:p>
      <w:pPr>
        <w:pStyle w:val="BodyText"/>
      </w:pPr>
      <w:r>
        <w:rPr>
          <w:bCs/>
          <w:b/>
        </w:rPr>
        <w:t xml:space="preserve">Category 4: Upstream Transportation and Distribution</w:t>
      </w:r>
    </w:p>
    <w:p>
      <w:pPr>
        <w:pStyle w:val="BodyText"/>
      </w:pPr>
      <w:r>
        <w:t xml:space="preserve">Assuming 8,000 km Ocean Freight (Asia to Europe) for 0.8 kg total raw material weight (approximated from BOM, simplifying for transport calculation) and 500 km Road Freight (EU) for 0.8 kg.</w:t>
      </w:r>
    </w:p>
    <w:p>
      <w:pPr>
        <w:numPr>
          <w:ilvl w:val="0"/>
          <w:numId w:val="1009"/>
        </w:numPr>
        <w:pStyle w:val="Compact"/>
      </w:pPr>
      <w:r>
        <w:t xml:space="preserve">Ocean Freight: (0.8 kg / 1000 kg/tonne) * 8,000 km * 0.016 kg CO2e/tonne-km = 0.1024 kg CO2e</w:t>
      </w:r>
    </w:p>
    <w:p>
      <w:pPr>
        <w:numPr>
          <w:ilvl w:val="0"/>
          <w:numId w:val="1009"/>
        </w:numPr>
        <w:pStyle w:val="Compact"/>
      </w:pPr>
      <w:r>
        <w:t xml:space="preserve">Road Freight (Upstream): (0.8 kg / 1000 kg/tonne) * 500 km * 0.09 kg CO2e/tonne-km = 0.036 kg CO2e</w:t>
      </w:r>
    </w:p>
    <w:p>
      <w:pPr>
        <w:pStyle w:val="FirstParagraph"/>
      </w:pPr>
      <w:r>
        <w:rPr>
          <w:bCs/>
          <w:b/>
        </w:rPr>
        <w:t xml:space="preserve">Total Scope 3, Category 4 Emissions:</w:t>
      </w:r>
      <w:r>
        <w:t xml:space="preserve"> </w:t>
      </w:r>
      <w:r>
        <w:t xml:space="preserve">0.1024 + 0.036 =</w:t>
      </w:r>
      <w:r>
        <w:t xml:space="preserve"> </w:t>
      </w:r>
      <w:r>
        <w:rPr>
          <w:bCs/>
          <w:b/>
        </w:rPr>
        <w:t xml:space="preserve">0.1384 kg CO2e</w:t>
      </w:r>
    </w:p>
    <w:p>
      <w:pPr>
        <w:pStyle w:val="BodyText"/>
      </w:pPr>
      <w:r>
        <w:rPr>
          <w:bCs/>
          <w:b/>
        </w:rPr>
        <w:t xml:space="preserve">Category 9: Downstream Transportation and Distribution</w:t>
      </w:r>
    </w:p>
    <w:p>
      <w:pPr>
        <w:pStyle w:val="BodyText"/>
      </w:pPr>
      <w:r>
        <w:t xml:space="preserve">Assuming product weight 0.9 kg (sum of BOM items excluding packaging, as packaging is often part of Category 1 or handled separately in transport) and 200 km Road Freight for final product distribution to warehouse/retail, plus 50 km Last-Mile Delivery by Van per unit.</w:t>
      </w:r>
    </w:p>
    <w:p>
      <w:pPr>
        <w:numPr>
          <w:ilvl w:val="0"/>
          <w:numId w:val="1010"/>
        </w:numPr>
        <w:pStyle w:val="Compact"/>
      </w:pPr>
      <w:r>
        <w:t xml:space="preserve">Road Freight (Downstream): (0.9 kg / 1000 kg/tonne) * 200 km * 0.09 kg CO2e/tonne-km = 0.0162 kg CO2e</w:t>
      </w:r>
    </w:p>
    <w:p>
      <w:pPr>
        <w:numPr>
          <w:ilvl w:val="0"/>
          <w:numId w:val="1010"/>
        </w:numPr>
        <w:pStyle w:val="Compact"/>
      </w:pPr>
      <w:r>
        <w:t xml:space="preserve">Last-Mile Delivery (Van): 1 unit * 50 km * 0.2 kg CO2e/unit-km = 10.0 kg CO2e (Note: Last mile can be very emission intensive per unit due to lower load factors and frequent stops)</w:t>
      </w:r>
    </w:p>
    <w:p>
      <w:pPr>
        <w:pStyle w:val="FirstParagraph"/>
      </w:pPr>
      <w:r>
        <w:rPr>
          <w:bCs/>
          <w:b/>
        </w:rPr>
        <w:t xml:space="preserve">Total Scope 3, Category 9 Emissions:</w:t>
      </w:r>
      <w:r>
        <w:t xml:space="preserve"> </w:t>
      </w:r>
      <w:r>
        <w:t xml:space="preserve">0.0162 + 10.0 =</w:t>
      </w:r>
      <w:r>
        <w:t xml:space="preserve"> </w:t>
      </w:r>
      <w:r>
        <w:rPr>
          <w:bCs/>
          <w:b/>
        </w:rPr>
        <w:t xml:space="preserve">10.0162 kg CO2e</w:t>
      </w:r>
    </w:p>
    <w:p>
      <w:pPr>
        <w:pStyle w:val="BodyText"/>
      </w:pPr>
      <w:r>
        <w:rPr>
          <w:bCs/>
          <w:b/>
        </w:rPr>
        <w:t xml:space="preserve">Category 11: Use of Sold Products</w:t>
      </w:r>
    </w:p>
    <w:p>
      <w:pPr>
        <w:pStyle w:val="BodyText"/>
      </w:pPr>
      <w:r>
        <w:t xml:space="preserve">Energy Consumption in Use: kjuujmttnk (10 kWh/year) * Product Lifespan: svozelxsee (5 years) = 50 kWh over lifespan.</w:t>
      </w:r>
    </w:p>
    <w:p>
      <w:pPr>
        <w:pStyle w:val="BodyText"/>
      </w:pPr>
      <w:r>
        <w:t xml:space="preserve">Assuming Grid Electricity (China) for use phase:</w:t>
      </w:r>
    </w:p>
    <w:p>
      <w:pPr>
        <w:numPr>
          <w:ilvl w:val="0"/>
          <w:numId w:val="1011"/>
        </w:numPr>
        <w:pStyle w:val="Compact"/>
      </w:pPr>
      <w:r>
        <w:t xml:space="preserve">50 kWh * 0.55 kg CO2e/kWh =</w:t>
      </w:r>
      <w:r>
        <w:t xml:space="preserve"> </w:t>
      </w:r>
      <w:r>
        <w:rPr>
          <w:bCs/>
          <w:b/>
        </w:rPr>
        <w:t xml:space="preserve">27.5 kg CO2e</w:t>
      </w:r>
    </w:p>
    <w:p>
      <w:pPr>
        <w:pStyle w:val="FirstParagraph"/>
      </w:pPr>
      <w:r>
        <w:rPr>
          <w:bCs/>
          <w:b/>
        </w:rPr>
        <w:t xml:space="preserve">Category 12: End-of-Life Treatment of Sold Products</w:t>
      </w:r>
    </w:p>
    <w:p>
      <w:pPr>
        <w:pStyle w:val="BodyText"/>
      </w:pPr>
      <w:r>
        <w:t xml:space="preserve">Product mass (excluding packaging for this calculation, assuming 0.9 kg) at End-of-Life.</w:t>
      </w:r>
    </w:p>
    <w:p>
      <w:pPr>
        <w:pStyle w:val="BodyText"/>
      </w:pPr>
      <w:r>
        <w:t xml:space="preserve">Recyclability Percentage: qtjspxifhs (80%). Non-recyclable portion: 20%.</w:t>
      </w:r>
    </w:p>
    <w:p>
      <w:pPr>
        <w:numPr>
          <w:ilvl w:val="0"/>
          <w:numId w:val="1012"/>
        </w:numPr>
        <w:pStyle w:val="Compact"/>
      </w:pPr>
      <w:r>
        <w:t xml:space="preserve">Recycled Portion: 0.9 kg * 80% = 0.72 kg. Assuming an avoided burden approach for recycling or a low impact. However, some sources suggest recycling plastics still generates emissions (e.g., 202 kg CO2e/tonne). We\'ll account for the energy used in recycling. For this calculation, we\'ll use a positive emission for recycling process rather than a negative (avoided) emission, to be conservative, using 0.5 kg CO2e/kg for mixed recycling. So, 0.72 kg * 0.5 kg CO2e/kg = 0.36 kg CO2e.</w:t>
      </w:r>
    </w:p>
    <w:p>
      <w:pPr>
        <w:numPr>
          <w:ilvl w:val="0"/>
          <w:numId w:val="1012"/>
        </w:numPr>
        <w:pStyle w:val="Compact"/>
      </w:pPr>
      <w:r>
        <w:t xml:space="preserve">Landfilled Portion: 0.9 kg * 20% = 0.18 kg. Using an illustrative emission factor for landfill: 0.18 kg * 2.5 kg CO2e/kg = 0.45 kg CO2e.</w:t>
      </w:r>
    </w:p>
    <w:p>
      <w:pPr>
        <w:pStyle w:val="FirstParagraph"/>
      </w:pPr>
      <w:r>
        <w:rPr>
          <w:bCs/>
          <w:b/>
        </w:rPr>
        <w:t xml:space="preserve">Total Scope 3, Category 12 Emissions:</w:t>
      </w:r>
      <w:r>
        <w:t xml:space="preserve"> </w:t>
      </w:r>
      <w:r>
        <w:t xml:space="preserve">0.36 + 0.45 =</w:t>
      </w:r>
      <w:r>
        <w:t xml:space="preserve"> </w:t>
      </w:r>
      <w:r>
        <w:rPr>
          <w:bCs/>
          <w:b/>
        </w:rPr>
        <w:t xml:space="preserve">0.81 kg CO2e</w:t>
      </w:r>
    </w:p>
    <w:bookmarkEnd w:id="35"/>
    <w:bookmarkStart w:id="36" w:name="scope-2-emissions-purchased-electricity"/>
    <w:p>
      <w:pPr>
        <w:pStyle w:val="Heading4"/>
      </w:pPr>
      <w:r>
        <w:t xml:space="preserve">3.2.2. Scope 2 Emissions (Purchased Electricity)</w:t>
      </w:r>
    </w:p>
    <w:p>
      <w:pPr>
        <w:pStyle w:val="FirstParagraph"/>
      </w:pPr>
      <w:r>
        <w:t xml:space="preserve">Energy Intensity (kWh/unit): krwnkswpwz (15 kWh/unit)</w:t>
      </w:r>
    </w:p>
    <w:p>
      <w:pPr>
        <w:pStyle w:val="BodyText"/>
      </w:pPr>
      <w:r>
        <w:t xml:space="preserve">Renewable Energy Usage: styruuqsvd (75%)</w:t>
      </w:r>
    </w:p>
    <w:p>
      <w:pPr>
        <w:numPr>
          <w:ilvl w:val="0"/>
          <w:numId w:val="1013"/>
        </w:numPr>
        <w:pStyle w:val="Compact"/>
      </w:pPr>
      <w:r>
        <w:t xml:space="preserve">Non-renewable electricity: 15 kWh * (1 - 0.75) = 3.75 kWh. At China Grid EF (0.55 kg CO2e/kWh) = 3.75 * 0.55 = 2.0625 kg CO2e.</w:t>
      </w:r>
    </w:p>
    <w:p>
      <w:pPr>
        <w:numPr>
          <w:ilvl w:val="0"/>
          <w:numId w:val="1013"/>
        </w:numPr>
        <w:pStyle w:val="Compact"/>
      </w:pPr>
      <w:r>
        <w:t xml:space="preserve">Renewable electricity: 15 kWh * 0.75 = 11.25 kWh. At Renewable EF (0.01 kg CO2e/kWh) = 11.25 * 0.01 = 0.1125 kg CO2e.</w:t>
      </w:r>
    </w:p>
    <w:p>
      <w:pPr>
        <w:pStyle w:val="FirstParagraph"/>
      </w:pPr>
      <w:r>
        <w:rPr>
          <w:bCs/>
          <w:b/>
        </w:rPr>
        <w:t xml:space="preserve">Total Scope 2 Emissions:</w:t>
      </w:r>
      <w:r>
        <w:t xml:space="preserve"> </w:t>
      </w:r>
      <w:r>
        <w:t xml:space="preserve">2.0625 + 0.1125 =</w:t>
      </w:r>
      <w:r>
        <w:t xml:space="preserve"> </w:t>
      </w:r>
      <w:r>
        <w:rPr>
          <w:bCs/>
          <w:b/>
        </w:rPr>
        <w:t xml:space="preserve">2.175 kg CO2e</w:t>
      </w:r>
    </w:p>
    <w:bookmarkEnd w:id="36"/>
    <w:bookmarkStart w:id="37" w:name="scope-1-emissions-direct-emissions"/>
    <w:p>
      <w:pPr>
        <w:pStyle w:val="Heading4"/>
      </w:pPr>
      <w:r>
        <w:t xml:space="preserve">3.2.3. Scope 1 Emissions (Direct Emissions)</w:t>
      </w:r>
    </w:p>
    <w:p>
      <w:pPr>
        <w:pStyle w:val="FirstParagraph"/>
      </w:pPr>
      <w:r>
        <w:t xml:space="preserve">For this analysis, direct Scope 1 emissions from the production facility (e.g., on-site fuel combustion for heating or processes) are assumed to be negligible or covered by the electricity consumption data (if on-site generation is included). If significant, these would be quantified separately. For simplicity and based on the provided parameters, we assume</w:t>
      </w:r>
      <w:r>
        <w:t xml:space="preserve"> </w:t>
      </w:r>
      <w:r>
        <w:rPr>
          <w:bCs/>
          <w:b/>
        </w:rPr>
        <w:t xml:space="preserve">0 kg CO2e</w:t>
      </w:r>
      <w:r>
        <w:t xml:space="preserve"> </w:t>
      </w:r>
      <w:r>
        <w:t xml:space="preserve">for direct operational emissions, focusing on purchased electricity.</w:t>
      </w:r>
    </w:p>
    <w:bookmarkEnd w:id="37"/>
    <w:bookmarkEnd w:id="38"/>
    <w:bookmarkStart w:id="39" w:name="X3904bedbc10d109738942a255f9b28a1adca462"/>
    <w:p>
      <w:pPr>
        <w:pStyle w:val="Heading3"/>
      </w:pPr>
      <w:r>
        <w:t xml:space="preserve">3.3. Summary of Total Product Carbon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(On-site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2.18</w:t>
            </w:r>
          </w:p>
        </w:tc>
        <w:tc>
          <w:tcPr/>
          <w:p>
            <w:pPr>
              <w:pStyle w:val="Compact"/>
              <w:jc w:val="left"/>
            </w:pPr>
            <w:r>
              <w:t xml:space="preserve">4.7%</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3.20</w:t>
            </w:r>
          </w:p>
        </w:tc>
        <w:tc>
          <w:tcPr/>
          <w:p>
            <w:pPr>
              <w:pStyle w:val="Compact"/>
              <w:jc w:val="left"/>
            </w:pPr>
            <w:r>
              <w:t xml:space="preserve">6.9%</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0.14</w:t>
            </w:r>
          </w:p>
        </w:tc>
        <w:tc>
          <w:tcPr/>
          <w:p>
            <w:pPr>
              <w:pStyle w:val="Compact"/>
              <w:jc w:val="left"/>
            </w:pPr>
            <w:r>
              <w:t xml:space="preserve">0.3%</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10.02</w:t>
            </w:r>
          </w:p>
        </w:tc>
        <w:tc>
          <w:tcPr/>
          <w:p>
            <w:pPr>
              <w:pStyle w:val="Compact"/>
              <w:jc w:val="left"/>
            </w:pPr>
            <w:r>
              <w:t xml:space="preserve">21.6%</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27.50</w:t>
            </w:r>
          </w:p>
        </w:tc>
        <w:tc>
          <w:tcPr/>
          <w:p>
            <w:pPr>
              <w:pStyle w:val="Compact"/>
              <w:jc w:val="left"/>
            </w:pPr>
            <w:r>
              <w:t xml:space="preserve">59.3%</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0.81</w:t>
            </w:r>
          </w:p>
        </w:tc>
        <w:tc>
          <w:tcPr/>
          <w:p>
            <w:pPr>
              <w:pStyle w:val="Compact"/>
              <w:jc w:val="left"/>
            </w:pPr>
            <w:r>
              <w:t xml:space="preserve">1.7%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46.85</w:t>
            </w:r>
          </w:p>
        </w:tc>
        <w:tc>
          <w:tcPr/>
          <w:p>
            <w:pPr>
              <w:pStyle w:val="Compact"/>
              <w:jc w:val="left"/>
            </w:pPr>
            <w:r>
              <w:rPr>
                <w:bCs/>
                <w:b/>
              </w:rPr>
              <w:t xml:space="preserve">100.0%</w:t>
            </w:r>
          </w:p>
        </w:tc>
      </w:tr>
    </w:tbl>
    <w:p>
      <w:pPr>
        <w:pStyle w:val="BodyText"/>
      </w:pPr>
      <w:r>
        <w:rPr>
          <w:bCs/>
          <w:b/>
        </w:rPr>
        <w:t xml:space="preserve">Total Product Carbon Footprint for udjpuxmyev: 46.85 kg CO2e per unit.</w:t>
      </w:r>
    </w:p>
    <w:bookmarkEnd w:id="39"/>
    <w:bookmarkStart w:id="40" w:name="X4f7b7db01d5713dae599c773383e379e218e096"/>
    <w:p>
      <w:pPr>
        <w:pStyle w:val="Heading3"/>
      </w:pPr>
      <w:r>
        <w:t xml:space="preserve">3.4. GHG Protocol 2026 LSR Update and Scope 3 Compliance</w:t>
      </w:r>
    </w:p>
    <w:p>
      <w:pPr>
        <w:pStyle w:val="FirstParagraph"/>
      </w:pPr>
      <w:r>
        <w:t xml:space="preserve">The 2026 Land Sector and Removals (LSR) Standard (v1.0 was released on January 30, 2026, and is effective January 1, 2027) provides a framework for accounting for land-based GHG emissions and carbon dioxide removals. This report acknowledges the LSR Standard, which is particularly relevant for companies with significant land sector activities or those reporting CO2 removals. For the product</w:t>
      </w:r>
      <w:r>
        <w:t xml:space="preserve"> </w:t>
      </w:r>
      <w:r>
        <w:rPr>
          <w:bCs/>
          <w:b/>
        </w:rPr>
        <w:t xml:space="preserve">udjpuxmyev</w:t>
      </w:r>
      <w:r>
        <w:t xml:space="preserve">, the direct relevance primarily lies in the upstream raw material categories (e.g., biogenic carbon in cardboard). The cardboard packaging material, derived from renewable resources, has an associated biogenic carbon cycle. While the current LSR Standard does not include forest carbon accounting, companies are encouraged to be transparent about methodologies used for such impacts. The calculated footprint includes upstream land use change impacts where reflected in the emission factors of materials like paper (cardboard).</w:t>
      </w:r>
    </w:p>
    <w:p>
      <w:pPr>
        <w:pStyle w:val="BodyText"/>
      </w:pPr>
      <w:r>
        <w:t xml:space="preserve">The GHG Protocol\'s 2026 revisions to the Scope 3 Standard propose a prescriptive completeness requirement, mandating companies to account for and report at least 95% of total required Scope 3 emissions. This analysis aims to achieve this 95% coverage by systematically addressing key upstream (Category 1, 4) and downstream (Category 9, 11, 12) categories that are typically material for manufactured products. The disaggregation of emissions data by type (e.g., primary vs. secondary data) is also a key proposed change. This report explicitly details the calculation methodology and data sources (or illustrative assumptions) to enhance transparency and align with these evolving requirements.</w:t>
      </w:r>
    </w:p>
    <w:p>
      <w:r>
        <w:pict>
          <v:rect style="width:0;height:1.5pt" o:hralign="center" o:hrstd="t" o:hr="t"/>
        </w:pict>
      </w:r>
    </w:p>
    <w:bookmarkEnd w:id="40"/>
    <w:bookmarkEnd w:id="41"/>
    <w:bookmarkStart w:id="47" w:name="review-report-step-5"/>
    <w:p>
      <w:pPr>
        <w:pStyle w:val="Heading2"/>
      </w:pPr>
      <w:r>
        <w:t xml:space="preserve">4. Review &amp; Report (Step 5)</w:t>
      </w:r>
    </w:p>
    <w:bookmarkStart w:id="42" w:name="emission-hotspots"/>
    <w:p>
      <w:pPr>
        <w:pStyle w:val="Heading3"/>
      </w:pPr>
      <w:r>
        <w:t xml:space="preserve">4.1. Emission Hotspots</w:t>
      </w:r>
    </w:p>
    <w:p>
      <w:pPr>
        <w:pStyle w:val="FirstParagraph"/>
      </w:pPr>
      <w:r>
        <w:t xml:space="preserve">The analysis reveals the following emission hotspots for</w:t>
      </w:r>
      <w:r>
        <w:t xml:space="preserve"> </w:t>
      </w:r>
      <w:r>
        <w:rPr>
          <w:bCs/>
          <w:b/>
        </w:rPr>
        <w:t xml:space="preserve">udjpuxmyev</w:t>
      </w:r>
      <w:r>
        <w:t xml:space="preserve">:</w:t>
      </w:r>
    </w:p>
    <w:p>
      <w:pPr>
        <w:numPr>
          <w:ilvl w:val="0"/>
          <w:numId w:val="1014"/>
        </w:numPr>
        <w:pStyle w:val="Compact"/>
      </w:pPr>
      <w:r>
        <w:rPr>
          <w:bCs/>
          <w:b/>
        </w:rPr>
        <w:t xml:space="preserve">Use of Sold Products (Category 11):</w:t>
      </w:r>
      <w:r>
        <w:t xml:space="preserve"> </w:t>
      </w:r>
      <w:r>
        <w:t xml:space="preserve">At 59.3% of the total PCF, the energy consumption during the product\'s lifespan is the most significant contributor. This highlights the importance of energy efficiency in product design and consumer usage patterns.</w:t>
      </w:r>
    </w:p>
    <w:p>
      <w:pPr>
        <w:numPr>
          <w:ilvl w:val="0"/>
          <w:numId w:val="1014"/>
        </w:numPr>
        <w:pStyle w:val="Compact"/>
      </w:pPr>
      <w:r>
        <w:rPr>
          <w:bCs/>
          <w:b/>
        </w:rPr>
        <w:t xml:space="preserve">Downstream Transportation &amp; Distribution (Category 9):</w:t>
      </w:r>
      <w:r>
        <w:t xml:space="preserve"> </w:t>
      </w:r>
      <w:r>
        <w:t xml:space="preserve">Accounting for 21.6%, last-mile delivery and overall distribution logistics present a substantial impact, indicating opportunities for optimizing transport modes, routes, and potentially using lower-emission delivery vehicles.</w:t>
      </w:r>
    </w:p>
    <w:p>
      <w:pPr>
        <w:numPr>
          <w:ilvl w:val="0"/>
          <w:numId w:val="1014"/>
        </w:numPr>
        <w:pStyle w:val="Compact"/>
      </w:pPr>
      <w:r>
        <w:rPr>
          <w:bCs/>
          <w:b/>
        </w:rPr>
        <w:t xml:space="preserve">Purchased Goods &amp; Services (Category 1):</w:t>
      </w:r>
      <w:r>
        <w:t xml:space="preserve"> </w:t>
      </w:r>
      <w:r>
        <w:t xml:space="preserve">Materials and their upstream processing contribute 6.9%. While lower than the use phase, selecting lower-carbon materials and working with suppliers on their manufacturing processes remains crucial. The specific emission factors for Printed Circuit Boards (PCBs) are notably high due to energy-intensive manufacturing.</w:t>
      </w:r>
    </w:p>
    <w:bookmarkEnd w:id="42"/>
    <w:bookmarkStart w:id="43" w:name="reliability-and-limitations"/>
    <w:p>
      <w:pPr>
        <w:pStyle w:val="Heading3"/>
      </w:pPr>
      <w:r>
        <w:t xml:space="preserve">4.2. Reliability and Limitations</w:t>
      </w:r>
    </w:p>
    <w:p>
      <w:pPr>
        <w:pStyle w:val="FirstParagraph"/>
      </w:pPr>
      <w:r>
        <w:t xml:space="preserve">The reliability of this PCF analysis is contingent upon the accuracy and specificity of the input data. While the report adheres to the GHG Protocol and incorporates specific parameters, certain limitations exist:</w:t>
      </w:r>
    </w:p>
    <w:p>
      <w:pPr>
        <w:numPr>
          <w:ilvl w:val="0"/>
          <w:numId w:val="1015"/>
        </w:numPr>
        <w:pStyle w:val="Compact"/>
      </w:pPr>
      <w:r>
        <w:rPr>
          <w:bCs/>
          <w:b/>
        </w:rPr>
        <w:t xml:space="preserve">Illustrative Data:</w:t>
      </w:r>
      <w:r>
        <w:t xml:space="preserve"> </w:t>
      </w:r>
      <w:r>
        <w:t xml:space="preserve">Several parameters (e.g., transport distance, energy consumption in use, recyclability percentage, and detailed BOM values beyond the provided \'Total Carbon\' for each item) were provided as symbolic placeholders. Illustrative numerical values have been assumed to demonstrate the calculation methodology. For a fully accurate PCF, primary, verified data for each of these parameters would be required.</w:t>
      </w:r>
    </w:p>
    <w:p>
      <w:pPr>
        <w:numPr>
          <w:ilvl w:val="0"/>
          <w:numId w:val="1015"/>
        </w:numPr>
        <w:pStyle w:val="Compact"/>
      </w:pPr>
      <w:r>
        <w:rPr>
          <w:bCs/>
          <w:b/>
        </w:rPr>
        <w:t xml:space="preserve">Generic Emission Factors:</w:t>
      </w:r>
      <w:r>
        <w:t xml:space="preserve"> </w:t>
      </w:r>
      <w:r>
        <w:t xml:space="preserve">Where specific data was not provided, representative industry-average emission factors were used. These may not perfectly reflect the specific operational efficiencies or energy mixes of individual suppliers or transport providers.</w:t>
      </w:r>
    </w:p>
    <w:p>
      <w:pPr>
        <w:numPr>
          <w:ilvl w:val="0"/>
          <w:numId w:val="1015"/>
        </w:numPr>
        <w:pStyle w:val="Compact"/>
      </w:pPr>
      <w:r>
        <w:rPr>
          <w:bCs/>
          <w:b/>
        </w:rPr>
        <w:t xml:space="preserve">System Boundary:</w:t>
      </w:r>
      <w:r>
        <w:t xml:space="preserve"> </w:t>
      </w:r>
      <w:r>
        <w:t xml:space="preserve">The "factory_gate" boundary for core activities focuses primarily on production. While downstream elements are included in Scope 3, a full "cradle-to-grave" analysis with primary data for all stages would offer even greater detail.</w:t>
      </w:r>
    </w:p>
    <w:p>
      <w:pPr>
        <w:numPr>
          <w:ilvl w:val="0"/>
          <w:numId w:val="1015"/>
        </w:numPr>
        <w:pStyle w:val="Compact"/>
      </w:pPr>
      <w:r>
        <w:rPr>
          <w:bCs/>
          <w:b/>
        </w:rPr>
        <w:t xml:space="preserve">2026 LSR Update:</w:t>
      </w:r>
      <w:r>
        <w:t xml:space="preserve"> </w:t>
      </w:r>
      <w:r>
        <w:t xml:space="preserve">The LSR Standard provides a framework for land-related emissions and removals. While acknowledged, the detailed quantification of specific land-use changes or biogenic carbon removals within the complex supply chain of</w:t>
      </w:r>
      <w:r>
        <w:t xml:space="preserve"> </w:t>
      </w:r>
      <w:r>
        <w:rPr>
          <w:bCs/>
          <w:b/>
        </w:rPr>
        <w:t xml:space="preserve">udjpuxmyev</w:t>
      </w:r>
      <w:r>
        <w:t xml:space="preserve"> </w:t>
      </w:r>
      <w:r>
        <w:t xml:space="preserve">would require extensive primary data collection and specialized modeling, which is beyond the scope of this general PCF report. Forest carbon accounting is explicitly not included in the initial LSR Standard version.</w:t>
      </w:r>
    </w:p>
    <w:bookmarkEnd w:id="43"/>
    <w:bookmarkStart w:id="46" w:name="recommendations"/>
    <w:p>
      <w:pPr>
        <w:pStyle w:val="Heading3"/>
      </w:pPr>
      <w:r>
        <w:t xml:space="preserve">4.3. Recommendations</w:t>
      </w:r>
    </w:p>
    <w:p>
      <w:pPr>
        <w:pStyle w:val="FirstParagraph"/>
      </w:pPr>
      <w:r>
        <w:t xml:space="preserve">Based on this analysis,</w:t>
      </w:r>
      <w:r>
        <w:t xml:space="preserve"> </w:t>
      </w:r>
      <w:r>
        <w:rPr>
          <w:bCs/>
          <w:b/>
        </w:rPr>
        <w:t xml:space="preserve">eoiujjrjye</w:t>
      </w:r>
      <w:r>
        <w:t xml:space="preserve"> </w:t>
      </w:r>
      <w:r>
        <w:t xml:space="preserve">should consider the following to reduce the carbon footprint of</w:t>
      </w:r>
      <w:r>
        <w:t xml:space="preserve"> </w:t>
      </w:r>
      <w:r>
        <w:rPr>
          <w:bCs/>
          <w:b/>
        </w:rPr>
        <w:t xml:space="preserve">udjpuxmyev</w:t>
      </w:r>
      <w:r>
        <w:t xml:space="preserve">:</w:t>
      </w:r>
    </w:p>
    <w:p>
      <w:pPr>
        <w:numPr>
          <w:ilvl w:val="0"/>
          <w:numId w:val="1016"/>
        </w:numPr>
        <w:pStyle w:val="Compact"/>
      </w:pPr>
      <w:r>
        <w:rPr>
          <w:bCs/>
          <w:b/>
        </w:rPr>
        <w:t xml:space="preserve">Optimize Use Phase:</w:t>
      </w:r>
      <w:r>
        <w:t xml:space="preserve"> </w:t>
      </w:r>
      <w:r>
        <w:t xml:space="preserve">Invest in R&amp;D to significantly improve the energy efficiency of</w:t>
      </w:r>
      <w:r>
        <w:t xml:space="preserve"> </w:t>
      </w:r>
      <w:r>
        <w:rPr>
          <w:bCs/>
          <w:b/>
        </w:rPr>
        <w:t xml:space="preserve">udjpuxmyev</w:t>
      </w:r>
      <w:r>
        <w:t xml:space="preserve"> </w:t>
      </w:r>
      <w:r>
        <w:t xml:space="preserve">during its use phase. This could involve lower power components, smarter power management, or longer product lifespan (which reduces the per-year impact).</w:t>
      </w:r>
    </w:p>
    <w:p>
      <w:pPr>
        <w:numPr>
          <w:ilvl w:val="0"/>
          <w:numId w:val="1016"/>
        </w:numPr>
        <w:pStyle w:val="Compact"/>
      </w:pPr>
      <w:r>
        <w:rPr>
          <w:bCs/>
          <w:b/>
        </w:rPr>
        <w:t xml:space="preserve">Enhance Logistics:</w:t>
      </w:r>
      <w:r>
        <w:t xml:space="preserve"> </w:t>
      </w:r>
      <w:r>
        <w:t xml:space="preserve">Explore more efficient and lower-emission transport options for both upstream and downstream logistics, such as increased reliance on rail or electric vehicles for road transport where feasible. Optimizing packaging for transport efficiency can also help.</w:t>
      </w:r>
    </w:p>
    <w:p>
      <w:pPr>
        <w:numPr>
          <w:ilvl w:val="0"/>
          <w:numId w:val="1016"/>
        </w:numPr>
        <w:pStyle w:val="Compact"/>
      </w:pPr>
      <w:r>
        <w:rPr>
          <w:bCs/>
          <w:b/>
        </w:rPr>
        <w:t xml:space="preserve">Sustainable Materials Sourcing:</w:t>
      </w:r>
      <w:r>
        <w:t xml:space="preserve"> </w:t>
      </w:r>
      <w:r>
        <w:t xml:space="preserve">Continue to investigate and source lower-carbon alternative materials, especially for components like PCBs, where production is energy-intensive. Engage with suppliers to obtain primary emission data and encourage their decarbonization efforts.</w:t>
      </w:r>
    </w:p>
    <w:p>
      <w:pPr>
        <w:numPr>
          <w:ilvl w:val="0"/>
          <w:numId w:val="1016"/>
        </w:numPr>
        <w:pStyle w:val="Compact"/>
      </w:pPr>
      <w:r>
        <w:rPr>
          <w:bCs/>
          <w:b/>
        </w:rPr>
        <w:t xml:space="preserve">Increase Renewable Energy in Production:</w:t>
      </w:r>
      <w:r>
        <w:t xml:space="preserve"> </w:t>
      </w:r>
      <w:r>
        <w:t xml:space="preserve">While 75% renewable energy usage is commendable, further increasing this to 100% and ensuring verifiable green energy procurement can further reduce Scope 2 emissions.</w:t>
      </w:r>
    </w:p>
    <w:p>
      <w:pPr>
        <w:numPr>
          <w:ilvl w:val="0"/>
          <w:numId w:val="1016"/>
        </w:numPr>
        <w:pStyle w:val="Compact"/>
      </w:pPr>
      <w:r>
        <w:rPr>
          <w:bCs/>
          <w:b/>
        </w:rPr>
        <w:t xml:space="preserve">Strengthen Circularity:</w:t>
      </w:r>
      <w:r>
        <w:t xml:space="preserve"> </w:t>
      </w:r>
      <w:r>
        <w:t xml:space="preserve">Leverage the "Established take-back program with refurbishment options" (wtfhxsvetg) to maximize material recovery and explore opportunities for closed-loop recycling, thereby reducing reliance on virgin materials and minimizing end-of-life impacts.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4" w:name="page-num"/>
      <w:bookmarkEnd w:id="44"/>
      <w:r>
        <w:t xml:space="preserve"> </w:t>
      </w:r>
      <w:r>
        <w:t xml:space="preserve">of</w:t>
      </w:r>
      <w:r>
        <w:t xml:space="preserve"> </w:t>
      </w:r>
      <w:bookmarkStart w:id="45" w:name="total-pages"/>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udjpuxmyev</dc:title>
  <dc:creator/>
  <dc:description>Detailed Product Carbon Footprint (PCF) analysis report for udjpuxmyev by Senior Sustainability Consultant ugxxtyjvrv, adhering to GHG Protocol and 2026 LSR Update requirements.</dc:description>
  <dc:language>en</dc:language>
  <cp:keywords/>
  <dcterms:created xsi:type="dcterms:W3CDTF">2026-07-15T00:35:17Z</dcterms:created>
  <dcterms:modified xsi:type="dcterms:W3CDTF">2026-07-15T00:35:17Z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