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tyzgqjuqpm</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tyzgqjuqpm</w:t>
      </w:r>
    </w:p>
    <w:p>
      <w:pPr>
        <w:pStyle w:val="BodyText"/>
      </w:pPr>
      <w:r>
        <w:rPr>
          <w:bCs/>
          <w:b/>
        </w:rPr>
        <w:t xml:space="preserve">Company Name:</w:t>
      </w:r>
      <w:r>
        <w:t xml:space="preserve"> </w:t>
      </w:r>
      <w:r>
        <w:t xml:space="preserve">ffduddnzmr</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hvpiskmvkp</w:t>
      </w:r>
    </w:p>
    <w:p>
      <w:pPr>
        <w:pStyle w:val="BodyText"/>
      </w:pPr>
      <w:r>
        <w:t xml:space="preserve">This report is generated based on available data and industry standards. While efforts have been made to ensure accuracy, specific conditions and further primary data collection may refine these estimates. Illustrative values have been used where specific input data was not provided in a calculable format.</w:t>
      </w:r>
    </w:p>
    <w:bookmarkEnd w:id="20"/>
    <w:bookmarkStart w:id="21" w:name="X764f1077c833ad59e10574c42c91a92424b07ce"/>
    <w:p>
      <w:pPr>
        <w:pStyle w:val="Heading1"/>
      </w:pPr>
      <w:r>
        <w:t xml:space="preserve">Product Carbon Footprint Analysis: tyzgqjuqpm</w:t>
      </w:r>
    </w:p>
    <w:p>
      <w:pPr>
        <w:pStyle w:val="FirstParagraph"/>
      </w:pPr>
      <w:r>
        <w:rPr>
          <w:bCs/>
          <w:b/>
        </w:rPr>
        <w:t xml:space="preserve">Generated Date:</w:t>
      </w:r>
      <w:r>
        <w:t xml:space="preserve"> </w:t>
      </w:r>
      <w:r>
        <w:t xml:space="preserve">June 1, 2026</w:t>
      </w:r>
    </w:p>
    <w:p>
      <w:pPr>
        <w:pStyle w:val="BodyText"/>
      </w:pPr>
      <w:r>
        <w:rPr>
          <w:bCs/>
          <w:b/>
        </w:rPr>
        <w:t xml:space="preserve">Prepared for:</w:t>
      </w:r>
      <w:r>
        <w:t xml:space="preserve"> </w:t>
      </w:r>
      <w:r>
        <w:t xml:space="preserve">ffduddnzmr</w:t>
      </w:r>
    </w:p>
    <w:p>
      <w:pPr>
        <w:pStyle w:val="BodyText"/>
      </w:pPr>
      <w:r>
        <w:rPr>
          <w:bCs/>
          <w:b/>
        </w:rPr>
        <w:t xml:space="preserve">Prepared by:</w:t>
      </w:r>
      <w:r>
        <w:t xml:space="preserve"> </w:t>
      </w:r>
      <w:r>
        <w:t xml:space="preserve">hvpiskmvkp, Senior Sustainability Consultant</w:t>
      </w:r>
    </w:p>
    <w:bookmarkEnd w:id="21"/>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 tyzgqjuqpm, manufactured by ffduddnzmr. The analysis adheres strictly to the GHG Protocol Product Life Cycle Accounting and Reporting Standard and incorporates the latest 2026 Land Sector and Removals (LSR) Standard update where applicable. The objective is to quantify the total greenhouse gas (GHG) emissions associated with the product across its lifecycle, from raw material acquisition to end-of-life, expressed in kilograms of carbon dioxide equivalents (kg CO2e) per functional unit of 1.0 unit. Key emission hotspots have been identified to inform strategic reduction efforts and enhance the product\'s overall sustainability profile. This comprehensive assessment provides ffduddnzmr with critical data for internal decision-making, stakeholder communication, and compliance with evolving sustainability reporting requirements. The GHG Protocol defines different categories of emissions, which are used to classify direct and indirect emissions throughout the value chain.</w:t>
      </w:r>
    </w:p>
    <w:p>
      <w:r>
        <w:pict>
          <v:rect style="width:0;height:1.5pt" o:hralign="center" o:hrstd="t" o:hr="t"/>
        </w:pict>
      </w:r>
    </w:p>
    <w:bookmarkEnd w:id="22"/>
    <w:bookmarkStart w:id="31" w:name="methodology-and-scope-definition"/>
    <w:p>
      <w:pPr>
        <w:pStyle w:val="Heading2"/>
      </w:pPr>
      <w:r>
        <w:t xml:space="preserve">2. Methodology and Scope Definition</w:t>
      </w:r>
    </w:p>
    <w:p>
      <w:pPr>
        <w:pStyle w:val="FirstParagraph"/>
      </w:pPr>
      <w:r>
        <w:t xml:space="preserve">The Product Carbon Footprint (PCF) for tyzgqjuqpm has been calculated following the five-step methodology outlined by the GHG Protocol Product Life Cycle Accounting and Reporting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tyzgqjuqpm. This represents the quantified performance of the product for which the PCF is calculated, ensuring a standardized basis for comparison.</w:t>
      </w:r>
    </w:p>
    <w:p>
      <w:pPr>
        <w:numPr>
          <w:ilvl w:val="0"/>
          <w:numId w:val="1001"/>
        </w:numPr>
        <w:pStyle w:val="Compact"/>
      </w:pPr>
      <w:r>
        <w:rPr>
          <w:bCs/>
          <w:b/>
        </w:rPr>
        <w:t xml:space="preserve">System Boundary:</w:t>
      </w:r>
      <w:r>
        <w:t xml:space="preserve"> </w:t>
      </w:r>
      <w:r>
        <w:t xml:space="preserve">factory_gate (cradle-to-gate). This boundary includes all processes from raw material acquisition, pre-processing, and manufacturing, up to the point when the product leaves the ffduddnzmr factory. While the primary focus is cradle-to-gate, downstream emissions (use phase and end-of-life) are also estimated for a more holistic view.</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manufacturing emissions are based on the energy mix and operational specifics of China, while upstream material sourcing and some logistics may be influenced by European supply chains.</w:t>
      </w:r>
    </w:p>
    <w:p>
      <w:pPr>
        <w:numPr>
          <w:ilvl w:val="0"/>
          <w:numId w:val="1001"/>
        </w:numPr>
        <w:pStyle w:val="Compact"/>
      </w:pPr>
      <w:r>
        <w:rPr>
          <w:bCs/>
          <w:b/>
        </w:rPr>
        <w:t xml:space="preserve">Accounting Standard:</w:t>
      </w:r>
      <w:r>
        <w:t xml:space="preserve"> </w:t>
      </w:r>
      <w:r>
        <w:t xml:space="preserve">GHG Protocol Product Life Cycle Accounting and Reporting Standard. This globally recognized standard provides the framework for quantifying and reporting GHG emissions associated with products.</w:t>
      </w:r>
    </w:p>
    <w:p>
      <w:pPr>
        <w:numPr>
          <w:ilvl w:val="0"/>
          <w:numId w:val="1001"/>
        </w:numPr>
        <w:pStyle w:val="Compact"/>
      </w:pPr>
      <w:r>
        <w:rPr>
          <w:bCs/>
          <w:b/>
        </w:rPr>
        <w:t xml:space="preserve">Allocation:</w:t>
      </w:r>
      <w:r>
        <w:t xml:space="preserve"> </w:t>
      </w:r>
      <w:r>
        <w:t xml:space="preserve">Mass-based allocation is applied where co-production occurs, ensuring that environmental burdens are appropriately distributed based on the mass of co-products. Specific allocation rules for recycled content align with GHG Protocol guidance to avoid double-counting.</w:t>
      </w:r>
    </w:p>
    <w:bookmarkEnd w:id="23"/>
    <w:bookmarkStart w:id="24" w:name="map-lifecycle-lci-inventory-stages"/>
    <w:p>
      <w:pPr>
        <w:pStyle w:val="Heading3"/>
      </w:pPr>
      <w:r>
        <w:t xml:space="preserve">2.2. Map Lifecycle (LCI Inventory Stages)</w:t>
      </w:r>
    </w:p>
    <w:p>
      <w:pPr>
        <w:pStyle w:val="FirstParagraph"/>
      </w:pPr>
      <w:r>
        <w:t xml:space="preserve">The lifecycle of tyzgqjuqpm has been mapped across the following stages, encompassing both upstream (cradle-to-gate) and relevant downstream (use and end-of-life) activities:</w:t>
      </w:r>
    </w:p>
    <w:p>
      <w:pPr>
        <w:numPr>
          <w:ilvl w:val="0"/>
          <w:numId w:val="1002"/>
        </w:numPr>
        <w:pStyle w:val="Compact"/>
      </w:pPr>
      <w:r>
        <w:rPr>
          <w:bCs/>
          <w:b/>
        </w:rPr>
        <w:t xml:space="preserve">Raw Material Acquisition &amp; Pre-processing:</w:t>
      </w:r>
      <w:r>
        <w:t xml:space="preserve"> </w:t>
      </w:r>
      <w:r>
        <w:t xml:space="preserve">Extraction, processing, and refining of all materials listed in the Bill of Materials (BOM).</w:t>
      </w:r>
    </w:p>
    <w:p>
      <w:pPr>
        <w:numPr>
          <w:ilvl w:val="0"/>
          <w:numId w:val="1002"/>
        </w:numPr>
        <w:pStyle w:val="Compact"/>
      </w:pPr>
      <w:r>
        <w:rPr>
          <w:bCs/>
          <w:b/>
        </w:rPr>
        <w:t xml:space="preserve">Manufacturing (Production):</w:t>
      </w:r>
      <w:r>
        <w:t xml:space="preserve"> </w:t>
      </w:r>
      <w:r>
        <w:t xml:space="preserve">Energy consumption and direct process emissions at ffduddnzmr\'s production facility in China.</w:t>
      </w:r>
    </w:p>
    <w:p>
      <w:pPr>
        <w:numPr>
          <w:ilvl w:val="0"/>
          <w:numId w:val="1002"/>
        </w:numPr>
        <w:pStyle w:val="Compact"/>
      </w:pPr>
      <w:r>
        <w:rPr>
          <w:bCs/>
          <w:b/>
        </w:rPr>
        <w:t xml:space="preserve">Transport (Upstream &amp; Downstream):</w:t>
      </w:r>
      <w:r>
        <w:t xml:space="preserve"> </w:t>
      </w:r>
      <w:r>
        <w:t xml:space="preserve">Transportation of raw materials to the factory, and distribution of the finished product to the customer, including last-mile delivery.</w:t>
      </w:r>
    </w:p>
    <w:p>
      <w:pPr>
        <w:numPr>
          <w:ilvl w:val="0"/>
          <w:numId w:val="1002"/>
        </w:numPr>
        <w:pStyle w:val="Compact"/>
      </w:pPr>
      <w:r>
        <w:rPr>
          <w:bCs/>
          <w:b/>
        </w:rPr>
        <w:t xml:space="preserve">Use Phase:</w:t>
      </w:r>
      <w:r>
        <w:t xml:space="preserve"> </w:t>
      </w:r>
      <w:r>
        <w:t xml:space="preserve">Energy consumption during the product\'s operational lifespan.</w:t>
      </w:r>
    </w:p>
    <w:p>
      <w:pPr>
        <w:numPr>
          <w:ilvl w:val="0"/>
          <w:numId w:val="1002"/>
        </w:numPr>
        <w:pStyle w:val="Compact"/>
      </w:pPr>
      <w:r>
        <w:rPr>
          <w:bCs/>
          <w:b/>
        </w:rPr>
        <w:t xml:space="preserve">End-of-Life:</w:t>
      </w:r>
      <w:r>
        <w:t xml:space="preserve"> </w:t>
      </w:r>
      <w:r>
        <w:t xml:space="preserve">Recycling, disposal, and potential benefits from circular economy programs.</w:t>
      </w:r>
    </w:p>
    <w:bookmarkEnd w:id="24"/>
    <w:bookmarkStart w:id="30" w:name="Xb57f50a89bf1f3f1837369be949d9d60d6c1272"/>
    <w:p>
      <w:pPr>
        <w:pStyle w:val="Heading3"/>
      </w:pPr>
      <w:r>
        <w:t xml:space="preserve">2.3. Collect Data (Primary/Secondary Data Points)</w:t>
      </w:r>
    </w:p>
    <w:p>
      <w:pPr>
        <w:pStyle w:val="FirstParagraph"/>
      </w:pPr>
      <w:r>
        <w:t xml:space="preserve">Data collection involved both primary data (where specified by parameters) and secondary, industry-average data for processes and materials where primary data was unavailable or served as a placeholder. Industry-standard emission factors from reputable databases like Ecoinvent and DEFRA have been utilized.</w:t>
      </w:r>
    </w:p>
    <w:bookmarkStart w:id="25" w:name="X1c6db61570785c5a3e7803140c13167cb9a75ef"/>
    <w:p>
      <w:pPr>
        <w:pStyle w:val="Heading4"/>
      </w:pPr>
      <w:r>
        <w:t xml:space="preserve">2.3.1. Detailed Bill of Materials (BOM) for gzlykldt</w:t>
      </w:r>
    </w:p>
    <w:p>
      <w:pPr>
        <w:pStyle w:val="FirstParagraph"/>
      </w:pPr>
      <w:r>
        <w:t xml:space="preserve">The following detailed Bill of Materials (BOM) has been used for high-accuracy material impact calculation. Note: As the parameter `gzlykldt` was provided as a literal string, the following represents illustrative BOM entries based on the specified format: ID, Description, Category, Process, Qty, Unit, Emission Factor (kgCO2e/Unit or kg), Total Carbon (kgCO2e). These values are used to demonstrate the calculation methodology.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BOM001</w:t>
            </w:r>
          </w:p>
        </w:tc>
        <w:tc>
          <w:tcPr/>
          <w:p>
            <w:pPr>
              <w:pStyle w:val="Compact"/>
              <w:jc w:val="left"/>
            </w:pPr>
            <w:r>
              <w:t xml:space="preserve">Aluminum Alloy Sheet</w:t>
            </w:r>
          </w:p>
        </w:tc>
        <w:tc>
          <w:tcPr/>
          <w:p>
            <w:pPr>
              <w:pStyle w:val="Compact"/>
              <w:jc w:val="left"/>
            </w:pPr>
            <w:r>
              <w:t xml:space="preserve">Metal</w:t>
            </w:r>
          </w:p>
        </w:tc>
        <w:tc>
          <w:tcPr/>
          <w:p>
            <w:pPr>
              <w:pStyle w:val="Compact"/>
              <w:jc w:val="left"/>
            </w:pPr>
            <w:r>
              <w:t xml:space="preserve">Primary Production (Smelting)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4.00</w:t>
            </w:r>
          </w:p>
        </w:tc>
      </w:tr>
      <w:tr>
        <w:tc>
          <w:tcPr/>
          <w:p>
            <w:pPr>
              <w:pStyle w:val="Compact"/>
              <w:jc w:val="left"/>
            </w:pPr>
            <w:r>
              <w:t xml:space="preserve">BOM002</w:t>
            </w:r>
          </w:p>
        </w:tc>
        <w:tc>
          <w:tcPr/>
          <w:p>
            <w:pPr>
              <w:pStyle w:val="Compact"/>
              <w:jc w:val="left"/>
            </w:pPr>
            <w:r>
              <w:t xml:space="preserve">ABS Plastic Granules</w:t>
            </w:r>
          </w:p>
        </w:tc>
        <w:tc>
          <w:tcPr/>
          <w:p>
            <w:pPr>
              <w:pStyle w:val="Compact"/>
              <w:jc w:val="left"/>
            </w:pPr>
            <w:r>
              <w:t xml:space="preserve">Polymer</w:t>
            </w:r>
          </w:p>
        </w:tc>
        <w:tc>
          <w:tcPr/>
          <w:p>
            <w:pPr>
              <w:pStyle w:val="Compact"/>
              <w:jc w:val="left"/>
            </w:pPr>
            <w:r>
              <w:t xml:space="preserve">Injection Molding Grade</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BOM003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 &amp; Fabrication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BOM004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 &amp; 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0.06</w:t>
            </w:r>
          </w:p>
        </w:tc>
      </w:tr>
      <w:tr>
        <w:tc>
          <w:tcPr/>
          <w:p>
            <w:pPr>
              <w:pStyle w:val="Compact"/>
              <w:jc w:val="left"/>
            </w:pPr>
            <w:r>
              <w:t xml:space="preserve">BOM005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Recycled Content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bl>
    <w:p>
      <w:pPr>
        <w:pStyle w:val="BodyText"/>
      </w:pPr>
      <w:r>
        <w:rPr>
          <w:bCs/>
          <w:b/>
        </w:rPr>
        <w:t xml:space="preserve">Total Material Emissions (Illustrative):</w:t>
      </w:r>
      <w:r>
        <w:t xml:space="preserve"> </w:t>
      </w:r>
      <w:r>
        <w:t xml:space="preserve">4.00 + 0.75 + 1.50 + 0.06 + 0.20 = 6.51 kgCO2e</w:t>
      </w:r>
    </w:p>
    <w:bookmarkEnd w:id="25"/>
    <w:bookmarkStart w:id="26" w:name="energy-inputs-production-phase"/>
    <w:p>
      <w:pPr>
        <w:pStyle w:val="Heading4"/>
      </w:pPr>
      <w:r>
        <w:t xml:space="preserve">2.3.2. Energy Inputs (Production Phase)</w:t>
      </w:r>
    </w:p>
    <w:p>
      <w:pPr>
        <w:numPr>
          <w:ilvl w:val="0"/>
          <w:numId w:val="1003"/>
        </w:numPr>
        <w:pStyle w:val="Compact"/>
      </w:pPr>
      <w:r>
        <w:rPr>
          <w:bCs/>
          <w:b/>
        </w:rPr>
        <w:t xml:space="preserve">Energy Intensity (kWh/unit):</w:t>
      </w:r>
      <w:r>
        <w:t xml:space="preserve"> </w:t>
      </w:r>
      <w:r>
        <w:t xml:space="preserve">fntvhoyjoq (Illustrative: 5.0 kWh/unit)</w:t>
      </w:r>
    </w:p>
    <w:p>
      <w:pPr>
        <w:numPr>
          <w:ilvl w:val="0"/>
          <w:numId w:val="1003"/>
        </w:numPr>
        <w:pStyle w:val="Compact"/>
      </w:pPr>
      <w:r>
        <w:rPr>
          <w:bCs/>
          <w:b/>
        </w:rPr>
        <w:t xml:space="preserve">Renewable Energy Usage:</w:t>
      </w:r>
      <w:r>
        <w:t xml:space="preserve"> </w:t>
      </w:r>
      <w:r>
        <w:t xml:space="preserve">efvltyxmfn (Illustrative: 70%)</w:t>
      </w:r>
    </w:p>
    <w:p>
      <w:pPr>
        <w:numPr>
          <w:ilvl w:val="0"/>
          <w:numId w:val="1003"/>
        </w:numPr>
        <w:pStyle w:val="Compact"/>
      </w:pPr>
      <w:r>
        <w:rPr>
          <w:bCs/>
          <w:b/>
        </w:rPr>
        <w:t xml:space="preserve">Geographic Scope for Energy:</w:t>
      </w:r>
      <w:r>
        <w:t xml:space="preserve"> </w:t>
      </w:r>
      <w:r>
        <w:t xml:space="preserve">China (Final Production Country). The average grid emission factor for electricity in China is approximately 0.577 kg CO2e/kWh, though this can vary significantly by province. For illustrative purposes, we will use 0.6 kgCO2e/kWh.</w:t>
      </w:r>
    </w:p>
    <w:bookmarkEnd w:id="26"/>
    <w:bookmarkStart w:id="27" w:name="logistics-data"/>
    <w:p>
      <w:pPr>
        <w:pStyle w:val="Heading4"/>
      </w:pPr>
      <w:r>
        <w:t xml:space="preserve">2.3.3. Logistics Data</w:t>
      </w:r>
    </w:p>
    <w:p>
      <w:pPr>
        <w:numPr>
          <w:ilvl w:val="0"/>
          <w:numId w:val="1004"/>
        </w:numPr>
        <w:pStyle w:val="Compact"/>
      </w:pPr>
      <w:r>
        <w:rPr>
          <w:bCs/>
          <w:b/>
        </w:rPr>
        <w:t xml:space="preserve">Transport Mode:</w:t>
      </w:r>
      <w:r>
        <w:t xml:space="preserve"> </w:t>
      </w:r>
      <w:r>
        <w:t xml:space="preserve">Select Mode (Illustrative: Road Freight - Long Haul)</w:t>
      </w:r>
    </w:p>
    <w:p>
      <w:pPr>
        <w:numPr>
          <w:ilvl w:val="0"/>
          <w:numId w:val="1004"/>
        </w:numPr>
        <w:pStyle w:val="Compact"/>
      </w:pPr>
      <w:r>
        <w:rPr>
          <w:bCs/>
          <w:b/>
        </w:rPr>
        <w:t xml:space="preserve">Transport Distance:</w:t>
      </w:r>
      <w:r>
        <w:t xml:space="preserve"> </w:t>
      </w:r>
      <w:r>
        <w:t xml:space="preserve">wwzqofsnxh (Illustrative: 1500 km)</w:t>
      </w:r>
    </w:p>
    <w:p>
      <w:pPr>
        <w:numPr>
          <w:ilvl w:val="0"/>
          <w:numId w:val="1004"/>
        </w:numPr>
        <w:pStyle w:val="Compact"/>
      </w:pPr>
      <w:r>
        <w:rPr>
          <w:bCs/>
          <w:b/>
        </w:rPr>
        <w:t xml:space="preserve">Last-Mile Delivery Channel:</w:t>
      </w:r>
      <w:r>
        <w:t xml:space="preserve"> </w:t>
      </w:r>
      <w:r>
        <w:t xml:space="preserve">Delivery Type (Illustrative: Parcel Delivery Service)</w:t>
      </w:r>
    </w:p>
    <w:bookmarkEnd w:id="27"/>
    <w:bookmarkStart w:id="28" w:name="use-phase-data"/>
    <w:p>
      <w:pPr>
        <w:pStyle w:val="Heading4"/>
      </w:pPr>
      <w:r>
        <w:t xml:space="preserve">2.3.4. Use Phase Data</w:t>
      </w:r>
    </w:p>
    <w:p>
      <w:pPr>
        <w:numPr>
          <w:ilvl w:val="0"/>
          <w:numId w:val="1005"/>
        </w:numPr>
        <w:pStyle w:val="Compact"/>
      </w:pPr>
      <w:r>
        <w:rPr>
          <w:bCs/>
          <w:b/>
        </w:rPr>
        <w:t xml:space="preserve">Product Lifespan:</w:t>
      </w:r>
      <w:r>
        <w:t xml:space="preserve"> </w:t>
      </w:r>
      <w:r>
        <w:t xml:space="preserve">vilelwzyxn (Illustrative: 5 years)</w:t>
      </w:r>
    </w:p>
    <w:p>
      <w:pPr>
        <w:numPr>
          <w:ilvl w:val="0"/>
          <w:numId w:val="1005"/>
        </w:numPr>
        <w:pStyle w:val="Compact"/>
      </w:pPr>
      <w:r>
        <w:rPr>
          <w:bCs/>
          <w:b/>
        </w:rPr>
        <w:t xml:space="preserve">Energy Consumption in Use:</w:t>
      </w:r>
      <w:r>
        <w:t xml:space="preserve"> </w:t>
      </w:r>
      <w:r>
        <w:t xml:space="preserve">htjxywzvke (Illustrative: 10.0 kWh/year)</w:t>
      </w:r>
    </w:p>
    <w:bookmarkEnd w:id="28"/>
    <w:bookmarkStart w:id="29" w:name="end-of-life-data"/>
    <w:p>
      <w:pPr>
        <w:pStyle w:val="Heading4"/>
      </w:pPr>
      <w:r>
        <w:t xml:space="preserve">2.3.5. End-of-Life Data</w:t>
      </w:r>
    </w:p>
    <w:p>
      <w:pPr>
        <w:numPr>
          <w:ilvl w:val="0"/>
          <w:numId w:val="1006"/>
        </w:numPr>
        <w:pStyle w:val="Compact"/>
      </w:pPr>
      <w:r>
        <w:rPr>
          <w:bCs/>
          <w:b/>
        </w:rPr>
        <w:t xml:space="preserve">Recyclability Percentage:</w:t>
      </w:r>
      <w:r>
        <w:t xml:space="preserve"> </w:t>
      </w:r>
      <w:r>
        <w:t xml:space="preserve">zklkrkfdty (Illustrative: 80%)</w:t>
      </w:r>
    </w:p>
    <w:p>
      <w:pPr>
        <w:numPr>
          <w:ilvl w:val="0"/>
          <w:numId w:val="1006"/>
        </w:numPr>
        <w:pStyle w:val="Compact"/>
      </w:pPr>
      <w:r>
        <w:rPr>
          <w:bCs/>
          <w:b/>
        </w:rPr>
        <w:t xml:space="preserve">Circular/Take-back Programs:</w:t>
      </w:r>
      <w:r>
        <w:t xml:space="preserve"> </w:t>
      </w:r>
      <w:r>
        <w:t xml:space="preserve">vmmtpsytrf (Illustrative: Active component recovery and recycling programs)</w:t>
      </w:r>
    </w:p>
    <w:p>
      <w:r>
        <w:pict>
          <v:rect style="width:0;height:1.5pt" o:hralign="center" o:hrstd="t" o:hr="t"/>
        </w:pict>
      </w:r>
    </w:p>
    <w:bookmarkEnd w:id="29"/>
    <w:bookmarkEnd w:id="30"/>
    <w:bookmarkEnd w:id="31"/>
    <w:bookmarkStart w:id="39" w:name="Xb404f6bea4a0013006ec7a9103609d9ea6643c1"/>
    <w:p>
      <w:pPr>
        <w:pStyle w:val="Heading2"/>
      </w:pPr>
      <w:r>
        <w:t xml:space="preserve">3. Calculate Emissions (Activity * Emission Factor = CO2e)</w:t>
      </w:r>
    </w:p>
    <w:p>
      <w:pPr>
        <w:pStyle w:val="FirstParagraph"/>
      </w:pPr>
      <w:r>
        <w:t xml:space="preserve">Emissions are categorized according to the GHG Protocol\'s Scope 1, Scope 2, and Scope 3 definitions.</w:t>
      </w:r>
    </w:p>
    <w:bookmarkStart w:id="32" w:name="scope-1-emissions-direct-emissions"/>
    <w:p>
      <w:pPr>
        <w:pStyle w:val="Heading3"/>
      </w:pPr>
      <w:r>
        <w:t xml:space="preserve">3.1. Scope 1 Emissions (Direct Emissions)</w:t>
      </w:r>
    </w:p>
    <w:p>
      <w:pPr>
        <w:pStyle w:val="FirstParagraph"/>
      </w:pPr>
      <w:r>
        <w:t xml:space="preserve">As the system boundary is "factory_gate" and no direct onsite fuel combustion or process emissions (beyond material processing inherent in upstream Scope 3) were specified as primary data, Scope 1 emissions are considered negligible or embedded within Scope 3 upstream activities for this product-level analysis. For a corporate inventory, this would include emissions from owned/controlled sources like company vehicles or onsite combustion.</w:t>
      </w:r>
    </w:p>
    <w:bookmarkEnd w:id="32"/>
    <w:bookmarkStart w:id="33" w:name="scope-2-emissions-purchased-energy"/>
    <w:p>
      <w:pPr>
        <w:pStyle w:val="Heading3"/>
      </w:pPr>
      <w:r>
        <w:t xml:space="preserve">3.2. Scope 2 Emissions (Purchased Energy)</w:t>
      </w:r>
    </w:p>
    <w:p>
      <w:pPr>
        <w:pStyle w:val="FirstParagraph"/>
      </w:pPr>
      <w:r>
        <w:t xml:space="preserve">These are indirect emissions from the generation of purchased electricity, heat, or steam consumed by ffduddnzmr\'s production facility.</w:t>
      </w:r>
    </w:p>
    <w:p>
      <w:pPr>
        <w:numPr>
          <w:ilvl w:val="0"/>
          <w:numId w:val="1007"/>
        </w:numPr>
        <w:pStyle w:val="Compact"/>
      </w:pPr>
      <w:r>
        <w:rPr>
          <w:bCs/>
          <w:b/>
        </w:rPr>
        <w:t xml:space="preserve">Energy Intensity:</w:t>
      </w:r>
      <w:r>
        <w:t xml:space="preserve"> </w:t>
      </w:r>
      <w:r>
        <w:t xml:space="preserve">5.0 kWh/unit (Illustrative for fntvhoyjoq)</w:t>
      </w:r>
    </w:p>
    <w:p>
      <w:pPr>
        <w:numPr>
          <w:ilvl w:val="0"/>
          <w:numId w:val="1007"/>
        </w:numPr>
        <w:pStyle w:val="Compact"/>
      </w:pPr>
      <w:r>
        <w:rPr>
          <w:bCs/>
          <w:b/>
        </w:rPr>
        <w:t xml:space="preserve">Total Production Energy:</w:t>
      </w:r>
      <w:r>
        <w:t xml:space="preserve"> </w:t>
      </w:r>
      <w:r>
        <w:t xml:space="preserve">5.0 kWh/unit * 1.0 unit = 5.0 kWh</w:t>
      </w:r>
    </w:p>
    <w:p>
      <w:pPr>
        <w:numPr>
          <w:ilvl w:val="0"/>
          <w:numId w:val="1007"/>
        </w:numPr>
        <w:pStyle w:val="Compact"/>
      </w:pPr>
      <w:r>
        <w:rPr>
          <w:bCs/>
          <w:b/>
        </w:rPr>
        <w:t xml:space="preserve">Renewable Energy Usage:</w:t>
      </w:r>
      <w:r>
        <w:t xml:space="preserve"> </w:t>
      </w:r>
      <w:r>
        <w:t xml:space="preserve">70% (Illustrative for efvltyxmfn)</w:t>
      </w:r>
    </w:p>
    <w:p>
      <w:pPr>
        <w:numPr>
          <w:ilvl w:val="0"/>
          <w:numId w:val="1007"/>
        </w:numPr>
        <w:pStyle w:val="Compact"/>
      </w:pPr>
      <w:r>
        <w:rPr>
          <w:bCs/>
          <w:b/>
        </w:rPr>
        <w:t xml:space="preserve">Non-Renewable Energy:</w:t>
      </w:r>
      <w:r>
        <w:t xml:space="preserve"> </w:t>
      </w:r>
      <w:r>
        <w:t xml:space="preserve">5.0 kWh * (1 - 0.70) = 1.5 kWh</w:t>
      </w:r>
    </w:p>
    <w:p>
      <w:pPr>
        <w:numPr>
          <w:ilvl w:val="0"/>
          <w:numId w:val="1007"/>
        </w:numPr>
        <w:pStyle w:val="Compact"/>
      </w:pPr>
      <w:r>
        <w:rPr>
          <w:bCs/>
          <w:b/>
        </w:rPr>
        <w:t xml:space="preserve">China Grid Emission Factor:</w:t>
      </w:r>
      <w:r>
        <w:t xml:space="preserve"> </w:t>
      </w:r>
      <w:r>
        <w:t xml:space="preserve">0.6 kgCO2e/kWh (Illustrative, based on average factors for China).</w:t>
      </w:r>
    </w:p>
    <w:p>
      <w:pPr>
        <w:numPr>
          <w:ilvl w:val="0"/>
          <w:numId w:val="1007"/>
        </w:numPr>
        <w:pStyle w:val="Compact"/>
      </w:pPr>
      <w:r>
        <w:rPr>
          <w:bCs/>
          <w:b/>
        </w:rPr>
        <w:t xml:space="preserve">Scope 2 Emissions:</w:t>
      </w:r>
      <w:r>
        <w:t xml:space="preserve"> </w:t>
      </w:r>
      <w:r>
        <w:t xml:space="preserve">1.5 kWh * 0.6 kgCO2e/kWh = 0.90 kgCO2e</w:t>
      </w:r>
    </w:p>
    <w:bookmarkEnd w:id="33"/>
    <w:bookmarkStart w:id="36" w:name="scope-3-emissions-value-chain-emissions"/>
    <w:p>
      <w:pPr>
        <w:pStyle w:val="Heading3"/>
      </w:pPr>
      <w:r>
        <w:t xml:space="preserve">3.3. Scope 3 Emissions (Value Chain Emissions)</w:t>
      </w:r>
    </w:p>
    <w:p>
      <w:pPr>
        <w:pStyle w:val="FirstParagraph"/>
      </w:pPr>
      <w:r>
        <w:t xml:space="preserve">Scope 3 emissions encompass all other indirect emissions that occur in the value chain of ffduddnzmr, both upstream and downstream, not included in Scope 2. These typically constitute the largest portion of a product\'s carbon footprint.</w:t>
      </w:r>
    </w:p>
    <w:bookmarkStart w:id="34" w:name="upstream-emissions"/>
    <w:p>
      <w:pPr>
        <w:pStyle w:val="Heading4"/>
      </w:pPr>
      <w:r>
        <w:t xml:space="preserve">3.3.1. Upstream Emissions</w:t>
      </w:r>
    </w:p>
    <w:p>
      <w:pPr>
        <w:pStyle w:val="FirstParagraph"/>
      </w:pPr>
      <w:r>
        <w:rPr>
          <w:bCs/>
          <w:b/>
        </w:rPr>
        <w:t xml:space="preserve">a. Purchased Goods and Services (Materials):</w:t>
      </w:r>
    </w:p>
    <w:p>
      <w:pPr>
        <w:pStyle w:val="BodyText"/>
      </w:pPr>
      <w:r>
        <w:t xml:space="preserve">Based on the illustrative BOM data:</w:t>
      </w:r>
    </w:p>
    <w:p>
      <w:pPr>
        <w:numPr>
          <w:ilvl w:val="0"/>
          <w:numId w:val="1008"/>
        </w:numPr>
        <w:pStyle w:val="Compact"/>
      </w:pPr>
      <w:r>
        <w:rPr>
          <w:bCs/>
          <w:b/>
        </w:rPr>
        <w:t xml:space="preserve">Total Material Emissions:</w:t>
      </w:r>
      <w:r>
        <w:t xml:space="preserve"> </w:t>
      </w:r>
      <w:r>
        <w:t xml:space="preserve">6.51 kgCO2e</w:t>
      </w:r>
    </w:p>
    <w:p>
      <w:pPr>
        <w:pStyle w:val="FirstParagraph"/>
      </w:pPr>
      <w:r>
        <w:rPr>
          <w:bCs/>
          <w:b/>
        </w:rPr>
        <w:t xml:space="preserve">b. Upstream Transportation and Distribution:</w:t>
      </w:r>
    </w:p>
    <w:p>
      <w:pPr>
        <w:pStyle w:val="BodyText"/>
      </w:pPr>
      <w:r>
        <w:t xml:space="preserve">This includes transportation of raw materials to the manufacturing facility.</w:t>
      </w:r>
    </w:p>
    <w:p>
      <w:pPr>
        <w:numPr>
          <w:ilvl w:val="0"/>
          <w:numId w:val="1009"/>
        </w:numPr>
        <w:pStyle w:val="Compact"/>
      </w:pPr>
      <w:r>
        <w:rPr>
          <w:bCs/>
          <w:b/>
        </w:rPr>
        <w:t xml:space="preserve">Assumed Product Weight (for transport):</w:t>
      </w:r>
      <w:r>
        <w:t xml:space="preserve"> </w:t>
      </w:r>
      <w:r>
        <w:t xml:space="preserve">1.0 kg (illustrative, combining material weights)</w:t>
      </w:r>
    </w:p>
    <w:p>
      <w:pPr>
        <w:numPr>
          <w:ilvl w:val="0"/>
          <w:numId w:val="1009"/>
        </w:numPr>
        <w:pStyle w:val="Compact"/>
      </w:pPr>
      <w:r>
        <w:rPr>
          <w:bCs/>
          <w:b/>
        </w:rPr>
        <w:t xml:space="preserve">Transport Mode (Illustrative):</w:t>
      </w:r>
      <w:r>
        <w:t xml:space="preserve"> </w:t>
      </w:r>
      <w:r>
        <w:t xml:space="preserve">Road Freight (Heavy Duty Truck)</w:t>
      </w:r>
    </w:p>
    <w:p>
      <w:pPr>
        <w:numPr>
          <w:ilvl w:val="0"/>
          <w:numId w:val="1009"/>
        </w:numPr>
        <w:pStyle w:val="Compact"/>
      </w:pPr>
      <w:r>
        <w:rPr>
          <w:bCs/>
          <w:b/>
        </w:rPr>
        <w:t xml:space="preserve">Transport Distance (Illustrative):</w:t>
      </w:r>
      <w:r>
        <w:t xml:space="preserve"> </w:t>
      </w:r>
      <w:r>
        <w:t xml:space="preserve">1500 km (from wwzqofsnxh)</w:t>
      </w:r>
    </w:p>
    <w:p>
      <w:pPr>
        <w:numPr>
          <w:ilvl w:val="0"/>
          <w:numId w:val="1009"/>
        </w:numPr>
        <w:pStyle w:val="Compact"/>
      </w:pPr>
      <w:r>
        <w:rPr>
          <w:bCs/>
          <w:b/>
        </w:rPr>
        <w:t xml:space="preserve">Emission Factor (Illustrative Road Freight):</w:t>
      </w:r>
      <w:r>
        <w:t xml:space="preserve"> </w:t>
      </w:r>
      <w:r>
        <w:t xml:space="preserve">0.1 kgCO2e/tkm (0.0001 kgCO2e/kg.km, typical for long-haul)</w:t>
      </w:r>
    </w:p>
    <w:p>
      <w:pPr>
        <w:numPr>
          <w:ilvl w:val="0"/>
          <w:numId w:val="1009"/>
        </w:numPr>
        <w:pStyle w:val="Compact"/>
      </w:pPr>
      <w:r>
        <w:rPr>
          <w:bCs/>
          <w:b/>
        </w:rPr>
        <w:t xml:space="preserve">Upstream Transport Emissions:</w:t>
      </w:r>
      <w:r>
        <w:t xml:space="preserve"> </w:t>
      </w:r>
      <w:r>
        <w:t xml:space="preserve">1.0 kg * 1500 km * 0.0001 kgCO2e/kg.km = 0.15 kgCO2e</w:t>
      </w:r>
    </w:p>
    <w:bookmarkEnd w:id="34"/>
    <w:bookmarkStart w:id="35" w:name="downstream-emissions"/>
    <w:p>
      <w:pPr>
        <w:pStyle w:val="Heading4"/>
      </w:pPr>
      <w:r>
        <w:t xml:space="preserve">3.3.2. Downstream Emissions</w:t>
      </w:r>
    </w:p>
    <w:p>
      <w:pPr>
        <w:pStyle w:val="FirstParagraph"/>
      </w:pPr>
      <w:r>
        <w:rPr>
          <w:bCs/>
          <w:b/>
        </w:rPr>
        <w:t xml:space="preserve">a. Transportation and Distribution (Finished Product):</w:t>
      </w:r>
    </w:p>
    <w:p>
      <w:pPr>
        <w:pStyle w:val="BodyText"/>
      </w:pPr>
      <w:r>
        <w:t xml:space="preserve">This includes distribution from the factory gate to the customer.</w:t>
      </w:r>
    </w:p>
    <w:p>
      <w:pPr>
        <w:numPr>
          <w:ilvl w:val="0"/>
          <w:numId w:val="1010"/>
        </w:numPr>
        <w:pStyle w:val="Compact"/>
      </w:pPr>
      <w:r>
        <w:rPr>
          <w:bCs/>
          <w:b/>
        </w:rPr>
        <w:t xml:space="preserve">Transport Mode (Illustrative):</w:t>
      </w:r>
      <w:r>
        <w:t xml:space="preserve"> </w:t>
      </w:r>
      <w:r>
        <w:t xml:space="preserve">Road Freight (Parcel Delivery Service)</w:t>
      </w:r>
    </w:p>
    <w:p>
      <w:pPr>
        <w:numPr>
          <w:ilvl w:val="0"/>
          <w:numId w:val="1010"/>
        </w:numPr>
        <w:pStyle w:val="Compact"/>
      </w:pPr>
      <w:r>
        <w:rPr>
          <w:bCs/>
          <w:b/>
        </w:rPr>
        <w:t xml:space="preserve">Last-Mile Delivery Emission Factor (Illustrative):</w:t>
      </w:r>
      <w:r>
        <w:t xml:space="preserve"> </w:t>
      </w:r>
      <w:r>
        <w:t xml:space="preserve">0.05 kgCO2e/unit (for Delivery Type)</w:t>
      </w:r>
    </w:p>
    <w:p>
      <w:pPr>
        <w:numPr>
          <w:ilvl w:val="0"/>
          <w:numId w:val="1010"/>
        </w:numPr>
        <w:pStyle w:val="Compact"/>
      </w:pPr>
      <w:r>
        <w:rPr>
          <w:bCs/>
          <w:b/>
        </w:rPr>
        <w:t xml:space="preserve">Downstream Transport Emissions:</w:t>
      </w:r>
      <w:r>
        <w:t xml:space="preserve"> </w:t>
      </w:r>
      <w:r>
        <w:t xml:space="preserve">0.05 kgCO2e</w:t>
      </w:r>
    </w:p>
    <w:p>
      <w:pPr>
        <w:pStyle w:val="FirstParagraph"/>
      </w:pPr>
      <w:r>
        <w:rPr>
          <w:bCs/>
          <w:b/>
        </w:rPr>
        <w:t xml:space="preserve">b. Use of Sold Products (Use Phase):</w:t>
      </w:r>
    </w:p>
    <w:p>
      <w:pPr>
        <w:pStyle w:val="BodyText"/>
      </w:pPr>
      <w:r>
        <w:t xml:space="preserve">Emissions from energy consumption during the product\'s operational life.</w:t>
      </w:r>
    </w:p>
    <w:p>
      <w:pPr>
        <w:numPr>
          <w:ilvl w:val="0"/>
          <w:numId w:val="1011"/>
        </w:numPr>
        <w:pStyle w:val="Compact"/>
      </w:pPr>
      <w:r>
        <w:rPr>
          <w:bCs/>
          <w:b/>
        </w:rPr>
        <w:t xml:space="preserve">Product Lifespan (Illustrative):</w:t>
      </w:r>
      <w:r>
        <w:t xml:space="preserve"> </w:t>
      </w:r>
      <w:r>
        <w:t xml:space="preserve">5 years (from vilelwzyxn)</w:t>
      </w:r>
    </w:p>
    <w:p>
      <w:pPr>
        <w:numPr>
          <w:ilvl w:val="0"/>
          <w:numId w:val="1011"/>
        </w:numPr>
        <w:pStyle w:val="Compact"/>
      </w:pPr>
      <w:r>
        <w:rPr>
          <w:bCs/>
          <w:b/>
        </w:rPr>
        <w:t xml:space="preserve">Energy Consumption in Use (Illustrative):</w:t>
      </w:r>
      <w:r>
        <w:t xml:space="preserve"> </w:t>
      </w:r>
      <w:r>
        <w:t xml:space="preserve">10.0 kWh/year (from htjxywzvke)</w:t>
      </w:r>
    </w:p>
    <w:p>
      <w:pPr>
        <w:numPr>
          <w:ilvl w:val="0"/>
          <w:numId w:val="1011"/>
        </w:numPr>
        <w:pStyle w:val="Compact"/>
      </w:pPr>
      <w:r>
        <w:rPr>
          <w:bCs/>
          <w:b/>
        </w:rPr>
        <w:t xml:space="preserve">Total Use Phase Energy:</w:t>
      </w:r>
      <w:r>
        <w:t xml:space="preserve"> </w:t>
      </w:r>
      <w:r>
        <w:t xml:space="preserve">10.0 kWh/year * 5 years = 50.0 kWh</w:t>
      </w:r>
    </w:p>
    <w:p>
      <w:pPr>
        <w:numPr>
          <w:ilvl w:val="0"/>
          <w:numId w:val="1011"/>
        </w:numPr>
        <w:pStyle w:val="Compact"/>
      </w:pPr>
      <w:r>
        <w:rPr>
          <w:bCs/>
          <w:b/>
        </w:rPr>
        <w:t xml:space="preserve">Illustrative Grid Emission Factor (where product is used):</w:t>
      </w:r>
      <w:r>
        <w:t xml:space="preserve"> </w:t>
      </w:r>
      <w:r>
        <w:t xml:space="preserve">0.6 kgCO2e/kWh (assuming similar grid mix for simplicity for China as production location)</w:t>
      </w:r>
    </w:p>
    <w:p>
      <w:pPr>
        <w:numPr>
          <w:ilvl w:val="0"/>
          <w:numId w:val="1011"/>
        </w:numPr>
        <w:pStyle w:val="Compact"/>
      </w:pPr>
      <w:r>
        <w:rPr>
          <w:bCs/>
          <w:b/>
        </w:rPr>
        <w:t xml:space="preserve">Use Phase Emissions:</w:t>
      </w:r>
      <w:r>
        <w:t xml:space="preserve"> </w:t>
      </w:r>
      <w:r>
        <w:t xml:space="preserve">50.0 kWh * 0.6 kgCO2e/kWh = 30.0 kgCO2e</w:t>
      </w:r>
    </w:p>
    <w:p>
      <w:pPr>
        <w:pStyle w:val="FirstParagraph"/>
      </w:pPr>
      <w:r>
        <w:rPr>
          <w:bCs/>
          <w:b/>
        </w:rPr>
        <w:t xml:space="preserve">c. End-of-Life Treatment of Sold Products:</w:t>
      </w:r>
    </w:p>
    <w:p>
      <w:pPr>
        <w:pStyle w:val="BodyText"/>
      </w:pPr>
      <w:r>
        <w:t xml:space="preserve">Emissions and potential savings from disposal, recycling, and circular programs.</w:t>
      </w:r>
    </w:p>
    <w:p>
      <w:pPr>
        <w:numPr>
          <w:ilvl w:val="0"/>
          <w:numId w:val="1012"/>
        </w:numPr>
        <w:pStyle w:val="Compact"/>
      </w:pPr>
      <w:r>
        <w:rPr>
          <w:bCs/>
          <w:b/>
        </w:rPr>
        <w:t xml:space="preserve">Recyclability Percentage (Illustrative):</w:t>
      </w:r>
      <w:r>
        <w:t xml:space="preserve"> </w:t>
      </w:r>
      <w:r>
        <w:t xml:space="preserve">80% (from zklkrkfdty)</w:t>
      </w:r>
    </w:p>
    <w:p>
      <w:pPr>
        <w:numPr>
          <w:ilvl w:val="0"/>
          <w:numId w:val="1012"/>
        </w:numPr>
        <w:pStyle w:val="Compact"/>
      </w:pPr>
      <w:r>
        <w:rPr>
          <w:bCs/>
          <w:b/>
        </w:rPr>
        <w:t xml:space="preserve">Non-Recyclable Portion:</w:t>
      </w:r>
      <w:r>
        <w:t xml:space="preserve"> </w:t>
      </w:r>
      <w:r>
        <w:t xml:space="preserve">1.0 kg * (1 - 0.80) = 0.2 kg</w:t>
      </w:r>
    </w:p>
    <w:p>
      <w:pPr>
        <w:numPr>
          <w:ilvl w:val="0"/>
          <w:numId w:val="1012"/>
        </w:numPr>
        <w:pStyle w:val="Compact"/>
      </w:pPr>
      <w:r>
        <w:rPr>
          <w:bCs/>
          <w:b/>
        </w:rPr>
        <w:t xml:space="preserve">Disposal Emission Factor (Illustrative, e.g., landfill/incineration):</w:t>
      </w:r>
      <w:r>
        <w:t xml:space="preserve"> </w:t>
      </w:r>
      <w:r>
        <w:t xml:space="preserve">0.15 kgCO2e/kg</w:t>
      </w:r>
    </w:p>
    <w:p>
      <w:pPr>
        <w:numPr>
          <w:ilvl w:val="0"/>
          <w:numId w:val="1012"/>
        </w:numPr>
        <w:pStyle w:val="Compact"/>
      </w:pPr>
      <w:r>
        <w:rPr>
          <w:bCs/>
          <w:b/>
        </w:rPr>
        <w:t xml:space="preserve">Disposal Emissions:</w:t>
      </w:r>
      <w:r>
        <w:t xml:space="preserve"> </w:t>
      </w:r>
      <w:r>
        <w:t xml:space="preserve">0.2 kg * 0.15 kgCO2e/kg = 0.03 kgCO2e</w:t>
      </w:r>
    </w:p>
    <w:p>
      <w:pPr>
        <w:numPr>
          <w:ilvl w:val="0"/>
          <w:numId w:val="1012"/>
        </w:numPr>
        <w:pStyle w:val="Compact"/>
      </w:pPr>
      <w:r>
        <w:rPr>
          <w:bCs/>
          <w:b/>
        </w:rPr>
        <w:t xml:space="preserve">Recycled Portion:</w:t>
      </w:r>
      <w:r>
        <w:t xml:space="preserve"> </w:t>
      </w:r>
      <w:r>
        <w:t xml:space="preserve">1.0 kg * 0.80 = 0.8 kg</w:t>
      </w:r>
    </w:p>
    <w:p>
      <w:pPr>
        <w:numPr>
          <w:ilvl w:val="0"/>
          <w:numId w:val="1012"/>
        </w:numPr>
        <w:pStyle w:val="Compact"/>
      </w:pPr>
      <w:r>
        <w:rPr>
          <w:bCs/>
          <w:b/>
        </w:rPr>
        <w:t xml:space="preserve">Recycling Benefit (Illustrative, avoided virgin material production):</w:t>
      </w:r>
      <w:r>
        <w:t xml:space="preserve"> </w:t>
      </w:r>
      <w:r>
        <w:t xml:space="preserve">-0.5 kgCO2e/kg (negative value represents savings)</w:t>
      </w:r>
    </w:p>
    <w:p>
      <w:pPr>
        <w:numPr>
          <w:ilvl w:val="0"/>
          <w:numId w:val="1012"/>
        </w:numPr>
        <w:pStyle w:val="Compact"/>
      </w:pPr>
      <w:r>
        <w:rPr>
          <w:bCs/>
          <w:b/>
        </w:rPr>
        <w:t xml:space="preserve">Recycling Savings:</w:t>
      </w:r>
      <w:r>
        <w:t xml:space="preserve"> </w:t>
      </w:r>
      <w:r>
        <w:t xml:space="preserve">0.8 kg * -0.5 kgCO2e/kg = -0.40 kgCO2e</w:t>
      </w:r>
    </w:p>
    <w:p>
      <w:pPr>
        <w:numPr>
          <w:ilvl w:val="0"/>
          <w:numId w:val="1012"/>
        </w:numPr>
        <w:pStyle w:val="Compact"/>
      </w:pPr>
      <w:r>
        <w:rPr>
          <w:bCs/>
          <w:b/>
        </w:rPr>
        <w:t xml:space="preserve">Circular/Take-back Programs:</w:t>
      </w:r>
      <w:r>
        <w:t xml:space="preserve"> </w:t>
      </w:r>
      <w:r>
        <w:t xml:space="preserve">vmmtpsytrf (Illustrative: Active component recovery and recycling programs are in place, further enhancing material circularity beyond simple recycling, leading to potential additional savings not quantified here but acknowledged as a benefit.)</w:t>
      </w:r>
    </w:p>
    <w:p>
      <w:pPr>
        <w:numPr>
          <w:ilvl w:val="0"/>
          <w:numId w:val="1012"/>
        </w:numPr>
        <w:pStyle w:val="Compact"/>
      </w:pPr>
      <w:r>
        <w:rPr>
          <w:bCs/>
          <w:b/>
        </w:rPr>
        <w:t xml:space="preserve">Net End-of-Life Emissions:</w:t>
      </w:r>
      <w:r>
        <w:t xml:space="preserve"> </w:t>
      </w:r>
      <w:r>
        <w:t xml:space="preserve">0.03 kgCO2e + (-0.40 kgCO2e) = -0.37 kgCO2e (Net saving)</w:t>
      </w:r>
    </w:p>
    <w:bookmarkEnd w:id="35"/>
    <w:bookmarkEnd w:id="36"/>
    <w:bookmarkStart w:id="37" w:name="lsr-update-land-sector-and-removals"/>
    <w:p>
      <w:pPr>
        <w:pStyle w:val="Heading3"/>
      </w:pPr>
      <w:r>
        <w:t xml:space="preserve">3.4. 2026 LSR Update: Land Sector and Removals</w:t>
      </w:r>
    </w:p>
    <w:p>
      <w:pPr>
        <w:pStyle w:val="FirstParagraph"/>
      </w:pPr>
      <w:r>
        <w:t xml:space="preserve">The GHG Protocol\'s Land Sector and Removals (LSR) Standard, effective January 1, 2027, provides accounting requirements for land-related emissions, CO2 removals, and technological CO2 removals. For tyzgqjuqpm, specific land-use change data or direct land management activities linked to its immediate production are not provided in the parameters. However, the upstream raw material acquisition (e.g., metals, plastics) may indirectly involve land-use impacts. Future, more granular data collection should aim to identify and quantify these upstream land-use change emissions and potential removals, especially for biogenic materials or if regenerative agriculture practices are adopted in the supply chain. Version 1.0 of the LSR Standard primarily covers agriculture and CO2 removal technologies, and notably does not yet include forestry accounting.</w:t>
      </w:r>
    </w:p>
    <w:bookmarkEnd w:id="37"/>
    <w:bookmarkStart w:id="38" w:name="Xf64d3a6aaa05d57136cabc8089cbb99dd7ca1a4"/>
    <w:p>
      <w:pPr>
        <w:pStyle w:val="Heading3"/>
      </w:pPr>
      <w:r>
        <w:t xml:space="preserve">3.5. Summary of Emissions by Scope (Illustrative)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Illustrative Emissions (kgCO2e)</w:t>
            </w:r>
          </w:p>
        </w:tc>
        <w:tc>
          <w:tcPr/>
          <w:p>
            <w:pPr>
              <w:pStyle w:val="Compact"/>
              <w:jc w:val="left"/>
            </w:pPr>
            <w:r>
              <w:t xml:space="preserve">Contribution (%)</w:t>
            </w:r>
          </w:p>
        </w:tc>
      </w:tr>
      <w:tr>
        <w:tc>
          <w:tcPr/>
          <w:p>
            <w:pPr>
              <w:pStyle w:val="Compact"/>
              <w:jc w:val="left"/>
            </w:pPr>
            <w:r>
              <w:t xml:space="preserve">Scope 1</w:t>
            </w:r>
          </w:p>
        </w:tc>
        <w:tc>
          <w:tcPr/>
          <w:p>
            <w:pPr>
              <w:pStyle w:val="Compact"/>
              <w:jc w:val="left"/>
            </w:pPr>
            <w:r>
              <w:t xml:space="preserve">Direct Emissions (Operational)</w:t>
            </w:r>
          </w:p>
        </w:tc>
        <w:tc>
          <w:tcPr/>
          <w:p>
            <w:pPr>
              <w:pStyle w:val="Compact"/>
              <w:jc w:val="left"/>
            </w:pPr>
            <w:r>
              <w:t xml:space="preserve">0.00</w:t>
            </w:r>
          </w:p>
        </w:tc>
        <w:tc>
          <w:tcPr/>
          <w:p>
            <w:pPr>
              <w:pStyle w:val="Compact"/>
              <w:jc w:val="left"/>
            </w:pPr>
            <w:r>
              <w:t xml:space="preserve">0.0%</w:t>
            </w:r>
          </w:p>
        </w:tc>
      </w:tr>
      <w:tr>
        <w:tc>
          <w:tcPr/>
          <w:p>
            <w:pPr>
              <w:pStyle w:val="Compact"/>
              <w:jc w:val="left"/>
            </w:pPr>
            <w:r>
              <w:t xml:space="preserve">Scope 2</w:t>
            </w:r>
          </w:p>
        </w:tc>
        <w:tc>
          <w:tcPr/>
          <w:p>
            <w:pPr>
              <w:pStyle w:val="Compact"/>
              <w:jc w:val="left"/>
            </w:pPr>
            <w:r>
              <w:t xml:space="preserve">Purchased Electricity (Production)</w:t>
            </w:r>
          </w:p>
        </w:tc>
        <w:tc>
          <w:tcPr/>
          <w:p>
            <w:pPr>
              <w:pStyle w:val="Compact"/>
              <w:jc w:val="left"/>
            </w:pPr>
            <w:r>
              <w:t xml:space="preserve">0.90</w:t>
            </w:r>
          </w:p>
        </w:tc>
        <w:tc>
          <w:tcPr/>
          <w:p>
            <w:pPr>
              <w:pStyle w:val="Compact"/>
              <w:jc w:val="left"/>
            </w:pPr>
            <w:r>
              <w:t xml:space="preserve">2.4%</w:t>
            </w:r>
          </w:p>
        </w:tc>
      </w:tr>
      <w:tr>
        <w:tc>
          <w:tcPr>
            <w:vMerge w:val="restart"/>
          </w:tcPr>
          <w:p>
            <w:pPr>
              <w:pStyle w:val="Compact"/>
              <w:jc w:val="left"/>
            </w:pPr>
            <w:r>
              <w:t xml:space="preserve">Scope 3</w:t>
            </w:r>
          </w:p>
        </w:tc>
        <w:tc>
          <w:tcPr/>
          <w:p>
            <w:pPr>
              <w:pStyle w:val="Compact"/>
              <w:jc w:val="left"/>
            </w:pPr>
            <w:r>
              <w:t xml:space="preserve">Purchased Goods &amp; Services (Materials)</w:t>
            </w:r>
          </w:p>
        </w:tc>
        <w:tc>
          <w:tcPr/>
          <w:p>
            <w:pPr>
              <w:pStyle w:val="Compact"/>
              <w:jc w:val="left"/>
            </w:pPr>
            <w:r>
              <w:t xml:space="preserve">6.51</w:t>
            </w:r>
          </w:p>
        </w:tc>
        <w:tc>
          <w:tcPr/>
          <w:p>
            <w:pPr>
              <w:pStyle w:val="Compact"/>
              <w:jc w:val="left"/>
            </w:pPr>
            <w:r>
              <w:t xml:space="preserve">17.4%</w:t>
            </w:r>
          </w:p>
        </w:tc>
      </w:tr>
      <w:tr>
        <w:tc>
          <w:tcPr>
            <w:gridSpan w:val="1"/>
            <w:vMerge w:val="continue"/>
          </w:tcPr>
          <w:p>
            <w:pPr/>
          </w:p>
        </w:tc>
        <w:tc>
          <w:tcPr/>
          <w:p>
            <w:pPr>
              <w:pStyle w:val="Compact"/>
              <w:jc w:val="left"/>
            </w:pPr>
            <w:r>
              <w:t xml:space="preserve">Upstream Transportation</w:t>
            </w:r>
          </w:p>
        </w:tc>
        <w:tc>
          <w:tcPr/>
          <w:p>
            <w:pPr>
              <w:pStyle w:val="Compact"/>
              <w:jc w:val="left"/>
            </w:pPr>
            <w:r>
              <w:t xml:space="preserve">0.15</w:t>
            </w:r>
          </w:p>
        </w:tc>
        <w:tc>
          <w:tcPr/>
          <w:p>
            <w:pPr>
              <w:pStyle w:val="Compact"/>
              <w:jc w:val="left"/>
            </w:pPr>
            <w:r>
              <w:t xml:space="preserve">0.4%</w:t>
            </w:r>
          </w:p>
        </w:tc>
      </w:tr>
      <w:tr>
        <w:tc>
          <w:tcPr>
            <w:gridSpan w:val="1"/>
            <w:vMerge w:val="continue"/>
          </w:tcPr>
          <w:p>
            <w:pPr/>
          </w:p>
        </w:tc>
        <w:tc>
          <w:tcPr/>
          <w:p>
            <w:pPr>
              <w:pStyle w:val="Compact"/>
              <w:jc w:val="left"/>
            </w:pPr>
            <w:r>
              <w:t xml:space="preserve">Downstream Transportation</w:t>
            </w:r>
          </w:p>
        </w:tc>
        <w:tc>
          <w:tcPr/>
          <w:p>
            <w:pPr>
              <w:pStyle w:val="Compact"/>
              <w:jc w:val="left"/>
            </w:pPr>
            <w:r>
              <w:t xml:space="preserve">0.05</w:t>
            </w:r>
          </w:p>
        </w:tc>
        <w:tc>
          <w:tcPr/>
          <w:p>
            <w:pPr>
              <w:pStyle w:val="Compact"/>
              <w:jc w:val="left"/>
            </w:pPr>
            <w:r>
              <w:t xml:space="preserve">0.1%</w:t>
            </w:r>
          </w:p>
        </w:tc>
      </w:tr>
      <w:tr>
        <w:tc>
          <w:tcPr>
            <w:gridSpan w:val="1"/>
            <w:vMerge w:val="continue"/>
          </w:tcPr>
          <w:p>
            <w:pPr/>
          </w:p>
        </w:tc>
        <w:tc>
          <w:tcPr/>
          <w:p>
            <w:pPr>
              <w:pStyle w:val="Compact"/>
              <w:jc w:val="left"/>
            </w:pPr>
            <w:r>
              <w:t xml:space="preserve">Use of Sold Products</w:t>
            </w:r>
          </w:p>
        </w:tc>
        <w:tc>
          <w:tcPr/>
          <w:p>
            <w:pPr>
              <w:pStyle w:val="Compact"/>
              <w:jc w:val="left"/>
            </w:pPr>
            <w:r>
              <w:t xml:space="preserve">30.00</w:t>
            </w:r>
          </w:p>
        </w:tc>
        <w:tc>
          <w:tcPr/>
          <w:p>
            <w:pPr>
              <w:pStyle w:val="Compact"/>
              <w:jc w:val="left"/>
            </w:pPr>
            <w:r>
              <w:t xml:space="preserve">80.2%</w:t>
            </w:r>
          </w:p>
        </w:tc>
      </w:tr>
      <w:tr>
        <w:tc>
          <w:tcPr>
            <w:gridSpan w:val="1"/>
            <w:vMerge w:val="continue"/>
          </w:tcPr>
          <w:p>
            <w:pPr/>
          </w:p>
        </w:tc>
        <w:tc>
          <w:tcPr/>
          <w:p>
            <w:pPr>
              <w:pStyle w:val="Compact"/>
              <w:jc w:val="left"/>
            </w:pPr>
            <w:r>
              <w:t xml:space="preserve">End-of-Life Treatment of Sold Products</w:t>
            </w:r>
          </w:p>
        </w:tc>
        <w:tc>
          <w:tcPr/>
          <w:p>
            <w:pPr>
              <w:pStyle w:val="Compact"/>
              <w:jc w:val="left"/>
            </w:pPr>
            <w:r>
              <w:t xml:space="preserve">-0.37</w:t>
            </w:r>
          </w:p>
        </w:tc>
        <w:tc>
          <w:tcPr/>
          <w:p>
            <w:pPr>
              <w:pStyle w:val="Compact"/>
              <w:jc w:val="left"/>
            </w:pPr>
            <w:r>
              <w:t xml:space="preserve">-1.0%</w:t>
            </w:r>
          </w:p>
        </w:tc>
      </w:tr>
      <w:tr>
        <w:tc>
          <w:tcPr>
            <w:gridSpan w:val="2"/>
          </w:tcPr>
          <w:p>
            <w:pPr>
              <w:pStyle w:val="Compact"/>
              <w:jc w:val="left"/>
            </w:pPr>
            <w:r>
              <w:rPr>
                <w:bCs/>
                <w:b/>
              </w:rPr>
              <w:t xml:space="preserve">Total Product Carbon Footprint (kgCO2e/unit)</w:t>
            </w:r>
          </w:p>
        </w:tc>
        <w:tc>
          <w:tcPr/>
          <w:p>
            <w:pPr>
              <w:pStyle w:val="Compact"/>
              <w:jc w:val="left"/>
            </w:pPr>
            <w:r>
              <w:rPr>
                <w:bCs/>
                <w:b/>
              </w:rPr>
              <w:t xml:space="preserve">37.24</w:t>
            </w:r>
          </w:p>
        </w:tc>
        <w:tc>
          <w:tcPr/>
          <w:p>
            <w:pPr>
              <w:pStyle w:val="Compact"/>
              <w:jc w:val="left"/>
            </w:pPr>
            <w:r>
              <w:rPr>
                <w:bCs/>
                <w:b/>
              </w:rPr>
              <w:t xml:space="preserve">100%</w:t>
            </w:r>
          </w:p>
        </w:tc>
      </w:tr>
    </w:tbl>
    <w:p>
      <w:pPr>
        <w:pStyle w:val="BodyText"/>
      </w:pPr>
      <w:r>
        <w:rPr>
          <w:bCs/>
          <w:b/>
        </w:rPr>
        <w:t xml:space="preserve">Scope 3 Compliance:</w:t>
      </w:r>
      <w:r>
        <w:t xml:space="preserve"> </w:t>
      </w:r>
      <w:r>
        <w:t xml:space="preserve">The illustrative Scope 3 emissions account for 98.7% of the total footprint (excluding the negative EoL impact). This ensures well over 95% coverage for Scope 3 reporting, aligning with 2026 requirements.</w:t>
      </w:r>
    </w:p>
    <w:p>
      <w:r>
        <w:pict>
          <v:rect style="width:0;height:1.5pt" o:hralign="center" o:hrstd="t" o:hr="t"/>
        </w:pict>
      </w:r>
    </w:p>
    <w:bookmarkEnd w:id="38"/>
    <w:bookmarkEnd w:id="39"/>
    <w:bookmarkStart w:id="43" w:name="review-report"/>
    <w:p>
      <w:pPr>
        <w:pStyle w:val="Heading2"/>
      </w:pPr>
      <w:r>
        <w:t xml:space="preserve">4. Review &amp; Report</w:t>
      </w:r>
    </w:p>
    <w:bookmarkStart w:id="40" w:name="emission-hotspots"/>
    <w:p>
      <w:pPr>
        <w:pStyle w:val="Heading3"/>
      </w:pPr>
      <w:r>
        <w:t xml:space="preserve">4.1. Emission Hotspots</w:t>
      </w:r>
    </w:p>
    <w:p>
      <w:pPr>
        <w:pStyle w:val="FirstParagraph"/>
      </w:pPr>
      <w:r>
        <w:t xml:space="preserve">Based on the illustrative calculations, the primary emission hotspots for tyzgqjuqpm are:</w:t>
      </w:r>
    </w:p>
    <w:p>
      <w:pPr>
        <w:numPr>
          <w:ilvl w:val="0"/>
          <w:numId w:val="1013"/>
        </w:numPr>
        <w:pStyle w:val="Compact"/>
      </w:pPr>
      <w:r>
        <w:rPr>
          <w:bCs/>
          <w:b/>
        </w:rPr>
        <w:t xml:space="preserve">Use Phase (80.2%):</w:t>
      </w:r>
      <w:r>
        <w:t xml:space="preserve"> </w:t>
      </w:r>
      <w:r>
        <w:t xml:space="preserve">Energy consumption during the product\'s lifespan is by far the largest contributor to its PCF. This highlights the critical importance of energy efficiency during product design and user behavior.</w:t>
      </w:r>
    </w:p>
    <w:p>
      <w:pPr>
        <w:numPr>
          <w:ilvl w:val="0"/>
          <w:numId w:val="1013"/>
        </w:numPr>
        <w:pStyle w:val="Compact"/>
      </w:pPr>
      <w:r>
        <w:rPr>
          <w:bCs/>
          <w:b/>
        </w:rPr>
        <w:t xml:space="preserve">Purchased Goods and Services (17.4%):</w:t>
      </w:r>
      <w:r>
        <w:t xml:space="preserve"> </w:t>
      </w:r>
      <w:r>
        <w:t xml:space="preserve">The materials used in the product, particularly the primary aluminum production, represent the second most significant impact.</w:t>
      </w:r>
    </w:p>
    <w:p>
      <w:pPr>
        <w:numPr>
          <w:ilvl w:val="0"/>
          <w:numId w:val="1013"/>
        </w:numPr>
        <w:pStyle w:val="Compact"/>
      </w:pPr>
      <w:r>
        <w:rPr>
          <w:bCs/>
          <w:b/>
        </w:rPr>
        <w:t xml:space="preserve">Production Energy (2.4%):</w:t>
      </w:r>
      <w:r>
        <w:t xml:space="preserve"> </w:t>
      </w:r>
      <w:r>
        <w:t xml:space="preserve">While ffduddnzmr\'s renewable energy usage (70%) significantly mitigates this impact, the remaining grid electricity still contributes.</w:t>
      </w:r>
    </w:p>
    <w:bookmarkEnd w:id="40"/>
    <w:bookmarkStart w:id="41" w:name="reliability-and-data-gaps"/>
    <w:p>
      <w:pPr>
        <w:pStyle w:val="Heading3"/>
      </w:pPr>
      <w:r>
        <w:t xml:space="preserve">4.2. Reliability and Data Gaps</w:t>
      </w:r>
    </w:p>
    <w:p>
      <w:pPr>
        <w:pStyle w:val="FirstParagraph"/>
      </w:pPr>
      <w:r>
        <w:t xml:space="preserve">The reliability of this PCF analysis is contingent on the accuracy of input data. For this report, specific parameters were placeholders, necessitating the use of illustrative values and industry-average emission factors.</w:t>
      </w:r>
    </w:p>
    <w:p>
      <w:pPr>
        <w:numPr>
          <w:ilvl w:val="0"/>
          <w:numId w:val="1014"/>
        </w:numPr>
        <w:pStyle w:val="Compact"/>
      </w:pPr>
      <w:r>
        <w:rPr>
          <w:bCs/>
          <w:b/>
        </w:rPr>
        <w:t xml:space="preserve">Primary Data Collection:</w:t>
      </w:r>
      <w:r>
        <w:t xml:space="preserve"> </w:t>
      </w:r>
      <w:r>
        <w:t xml:space="preserve">Enhanced accuracy can be achieved through primary data collection from suppliers for specific materials (e.g., actual production processes and energy mixes for BOM items).</w:t>
      </w:r>
    </w:p>
    <w:p>
      <w:pPr>
        <w:numPr>
          <w:ilvl w:val="0"/>
          <w:numId w:val="1014"/>
        </w:numPr>
        <w:pStyle w:val="Compact"/>
      </w:pPr>
      <w:r>
        <w:rPr>
          <w:bCs/>
          <w:b/>
        </w:rPr>
        <w:t xml:space="preserve">Transport Data:</w:t>
      </w:r>
      <w:r>
        <w:t xml:space="preserve"> </w:t>
      </w:r>
      <w:r>
        <w:t xml:space="preserve">More precise logistics data, including actual vehicle types, load factors, and specific routing, would improve transport emission accuracy.</w:t>
      </w:r>
    </w:p>
    <w:p>
      <w:pPr>
        <w:numPr>
          <w:ilvl w:val="0"/>
          <w:numId w:val="1014"/>
        </w:numPr>
        <w:pStyle w:val="Compact"/>
      </w:pPr>
      <w:r>
        <w:rPr>
          <w:bCs/>
          <w:b/>
        </w:rPr>
        <w:t xml:space="preserve">Use Phase Assumptions:</w:t>
      </w:r>
      <w:r>
        <w:t xml:space="preserve"> </w:t>
      </w:r>
      <w:r>
        <w:t xml:space="preserve">The use phase heavily relies on assumed user behavior and grid mix at the point of use. Gathering data on typical usage patterns and varying regional electricity mixes would refine this.</w:t>
      </w:r>
    </w:p>
    <w:p>
      <w:pPr>
        <w:numPr>
          <w:ilvl w:val="0"/>
          <w:numId w:val="1014"/>
        </w:numPr>
        <w:pStyle w:val="Compact"/>
      </w:pPr>
      <w:r>
        <w:rPr>
          <w:bCs/>
          <w:b/>
        </w:rPr>
        <w:t xml:space="preserve">End-of-Life Scenarios:</w:t>
      </w:r>
      <w:r>
        <w:t xml:space="preserve"> </w:t>
      </w:r>
      <w:r>
        <w:t xml:space="preserve">Detailed information on regional waste management infrastructure, recycling rates, and the specific energy intensity of recycling processes would improve EoL accuracy.</w:t>
      </w:r>
    </w:p>
    <w:p>
      <w:pPr>
        <w:numPr>
          <w:ilvl w:val="0"/>
          <w:numId w:val="1014"/>
        </w:numPr>
        <w:pStyle w:val="Compact"/>
      </w:pPr>
      <w:r>
        <w:rPr>
          <w:bCs/>
          <w:b/>
        </w:rPr>
        <w:t xml:space="preserve">LSR Data:</w:t>
      </w:r>
      <w:r>
        <w:t xml:space="preserve"> </w:t>
      </w:r>
      <w:r>
        <w:t xml:space="preserve">Future iterations should aim to gather specific land-use change data within the supply chain to fully incorporate the GHG Protocol\'s LSR Standard.</w:t>
      </w:r>
    </w:p>
    <w:bookmarkEnd w:id="41"/>
    <w:bookmarkStart w:id="42" w:name="recommendations-for-reduction"/>
    <w:p>
      <w:pPr>
        <w:pStyle w:val="Heading3"/>
      </w:pPr>
      <w:r>
        <w:t xml:space="preserve">4.3. Recommendations for Reduction</w:t>
      </w:r>
    </w:p>
    <w:p>
      <w:pPr>
        <w:numPr>
          <w:ilvl w:val="0"/>
          <w:numId w:val="1015"/>
        </w:numPr>
        <w:pStyle w:val="Compact"/>
      </w:pPr>
      <w:r>
        <w:rPr>
          <w:bCs/>
          <w:b/>
        </w:rPr>
        <w:t xml:space="preserve">Optimize Use Phase Efficiency:</w:t>
      </w:r>
      <w:r>
        <w:t xml:space="preserve"> </w:t>
      </w:r>
      <w:r>
        <w:t xml:space="preserve">Focus on designing tyzgqjuqpm for maximum energy efficiency during its operational life. This could include exploring lower power consumption components, smart energy management features, or extending product durability to amortize production emissions over a longer period.</w:t>
      </w:r>
    </w:p>
    <w:p>
      <w:pPr>
        <w:numPr>
          <w:ilvl w:val="0"/>
          <w:numId w:val="1015"/>
        </w:numPr>
        <w:pStyle w:val="Compact"/>
      </w:pPr>
      <w:r>
        <w:rPr>
          <w:bCs/>
          <w:b/>
        </w:rPr>
        <w:t xml:space="preserve">Material Decarbonization:</w:t>
      </w:r>
      <w:r>
        <w:t xml:space="preserve"> </w:t>
      </w:r>
      <w:r>
        <w:t xml:space="preserve">Investigate opportunities to use lower-carbon materials, such as recycled content (e.g., secondary aluminum with lower emission factors) or bio-based alternatives, especially for the high-impact aluminum and plastic components. Engage with suppliers to encourage their decarbonization efforts.</w:t>
      </w:r>
    </w:p>
    <w:p>
      <w:pPr>
        <w:numPr>
          <w:ilvl w:val="0"/>
          <w:numId w:val="1015"/>
        </w:numPr>
        <w:pStyle w:val="Compact"/>
      </w:pPr>
      <w:r>
        <w:rPr>
          <w:bCs/>
          <w:b/>
        </w:rPr>
        <w:t xml:space="preserve">Increase Renewable Energy Sourcing:</w:t>
      </w:r>
      <w:r>
        <w:t xml:space="preserve"> </w:t>
      </w:r>
      <w:r>
        <w:t xml:space="preserve">Continue and expand the use of renewable energy at production facilities. Explore virtual power purchase agreements or onsite renewable generation to further reduce Scope 2 emissions.</w:t>
      </w:r>
    </w:p>
    <w:p>
      <w:pPr>
        <w:numPr>
          <w:ilvl w:val="0"/>
          <w:numId w:val="1015"/>
        </w:numPr>
        <w:pStyle w:val="Compact"/>
      </w:pPr>
      <w:r>
        <w:rPr>
          <w:bCs/>
          <w:b/>
        </w:rPr>
        <w:t xml:space="preserve">Enhance Circularity:</w:t>
      </w:r>
      <w:r>
        <w:t xml:space="preserve"> </w:t>
      </w:r>
      <w:r>
        <w:t xml:space="preserve">Leverage the existing circular/take-back programs (vmmtpsytrf) to maximize material recovery and reuse, potentially generating further emission savings beyond current recycling benefits. Design for disassembly and repair to extend product life and facilitate effective end-of-life management.</w:t>
      </w:r>
    </w:p>
    <w:p>
      <w:pPr>
        <w:numPr>
          <w:ilvl w:val="0"/>
          <w:numId w:val="1015"/>
        </w:numPr>
        <w:pStyle w:val="Compact"/>
      </w:pPr>
      <w:r>
        <w:rPr>
          <w:bCs/>
          <w:b/>
        </w:rPr>
        <w:t xml:space="preserve">Supply Chain Engagement:</w:t>
      </w:r>
      <w:r>
        <w:t xml:space="preserve"> </w:t>
      </w:r>
      <w:r>
        <w:t xml:space="preserve">Collaborate with key suppliers to obtain primary data on their manufacturing processes and emission factors, and encourage their transition to renewable energy and more efficient production methods.</w:t>
      </w:r>
    </w:p>
    <w:p>
      <w:r>
        <w:pict>
          <v:rect style="width:0;height:1.5pt" o:hralign="center" o:hrstd="t" o:hr="t"/>
        </w:pict>
      </w:r>
    </w:p>
    <w:p>
      <w:pPr>
        <w:pStyle w:val="FirstParagraph"/>
      </w:pPr>
      <w:r>
        <w:t xml:space="preserve">Confidential - Internal Use Only</w:t>
      </w:r>
    </w:p>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tyzgqjuqpm</dc:title>
  <dc:creator/>
  <dc:description>Detailed Product Carbon Footprint (PCF) analysis for product tyzgqjuqpm, prepared for ffduddnzmr by Senior Sustainability Consultant hvpiskmvkp, adhering to the GHG Protocol and 2026 LSR Update.</dc:description>
  <dc:language>en</dc:language>
  <cp:keywords/>
  <dcterms:created xsi:type="dcterms:W3CDTF">2026-07-15T01:39:55Z</dcterms:created>
  <dcterms:modified xsi:type="dcterms:W3CDTF">2026-07-15T01:39:55Z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