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tyuxpgvzil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tyuxpgvzil</w:t>
      </w:r>
    </w:p>
    <w:p>
      <w:pPr>
        <w:pStyle w:val="BodyText"/>
      </w:pPr>
      <w:r>
        <w:rPr>
          <w:bCs/>
          <w:b/>
        </w:rPr>
        <w:t xml:space="preserve">Company:</w:t>
      </w:r>
      <w:r>
        <w:t xml:space="preserve"> </w:t>
      </w:r>
      <w:r>
        <w:t xml:space="preserve">jqhkxzkylr</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kyrgqnvunn</w:t>
      </w:r>
    </w:p>
    <w:p>
      <w:pPr>
        <w:pStyle w:val="BodyText"/>
      </w:pPr>
      <w:r>
        <w:t xml:space="preserve">Disclaimer: This report is generated based on available data, specified parameters, and industry standards. While efforts have been made to ensure accuracy and adherence to methodology, some calculations rely on assumed illustrative numerical values for placeholder parameters and generic emission factors where primary data or specific values were not provided.</w:t>
      </w:r>
    </w:p>
    <w:bookmarkEnd w:id="20"/>
    <w:bookmarkStart w:id="21" w:name="X445396f022fc890a1408c35d36fd728ae6e62dd"/>
    <w:p>
      <w:pPr>
        <w:pStyle w:val="Heading1"/>
      </w:pPr>
      <w:r>
        <w:t xml:space="preserve">Product Carbon Footprint Report: tyuxpgvzil</w:t>
      </w:r>
    </w:p>
    <w:p>
      <w:pPr>
        <w:pStyle w:val="FirstParagraph"/>
      </w:pPr>
      <w:r>
        <w:t xml:space="preserve">Generated Date:</w:t>
      </w:r>
    </w:p>
    <w:p>
      <w:pPr>
        <w:pStyle w:val="BodyText"/>
      </w:pPr>
      <w:r>
        <w:t xml:space="preserve">For: jqhkxzkylr</w:t>
      </w:r>
    </w:p>
    <w:p>
      <w:pPr>
        <w:pStyle w:val="BodyText"/>
      </w:pPr>
      <w:r>
        <w:t xml:space="preserve">Prepared by: kyrgqnvunn, Senior Sustainability Consultant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"tyuxpgvzil" manufactured by jqhkxzkylr. The analysis was conducted by kyrgqnvunn, Senior Sustainability Consultant, adhering strictly to the Greenhouse Gas Protocol (GHG Protocol) standards. The assessment covers the entire lifecycle of the product, from raw material acquisition through production, transportation, use, and end-of-life, to provide a comprehensive understanding of its environmental impact. This cradle-to-grave approach, despite a primary \'factory_gate\' boundary for manufacturing, ensures all provided parameters affecting the product\'s value chain emissions are included. Key findings highlight emission hotspots and areas for potential reduction.</w:t>
      </w:r>
    </w:p>
    <w:p>
      <w:r>
        <w:pict>
          <v:rect style="width:0;height:1.5pt" o:hralign="center" o:hrstd="t" o:hr="t"/>
        </w:pict>
      </w:r>
    </w:p>
    <w:bookmarkEnd w:id="22"/>
    <w:bookmarkStart w:id="28" w:name="introduction-and-scope-definition"/>
    <w:p>
      <w:pPr>
        <w:pStyle w:val="Heading2"/>
      </w:pPr>
      <w:r>
        <w:t xml:space="preserve">1. Introduction and Scope Definition</w:t>
      </w:r>
    </w:p>
    <w:p>
      <w:pPr>
        <w:pStyle w:val="FirstParagraph"/>
      </w:pPr>
      <w:r>
        <w:t xml:space="preserve">The Product Carbon Footprint (PCF) quantifies the total greenhouse gas (GHG) emissions generated throughout the lifecycle of a product, expressed in carbon dioxide equivalents (CO2e). This analysis for tyuxpgvzil follows the structured methodology of the GHG Protocol, categorizing emissions into Scope 1 (direct emissions), Scope 2 (indirect emissions from purchased energy), and Scope 3 (all other indirect emissions across the value chain).</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tyuxpgvzil</w:t>
      </w:r>
      <w:r>
        <w:t xml:space="preserve">.</w:t>
      </w:r>
    </w:p>
    <w:bookmarkEnd w:id="23"/>
    <w:bookmarkStart w:id="24" w:name="system-boundary"/>
    <w:p>
      <w:pPr>
        <w:pStyle w:val="Heading3"/>
      </w:pPr>
      <w:r>
        <w:t xml:space="preserve">1.2 System Boundary</w:t>
      </w:r>
    </w:p>
    <w:p>
      <w:pPr>
        <w:pStyle w:val="FirstParagraph"/>
      </w:pPr>
      <w:r>
        <w:t xml:space="preserve">The primary system boundary specified is "factory_gate". However, to provide a comprehensive assessment as per the detailed parameters provided, the analysis has been extended to encompass a cradle-to-grave perspective. This includes upstream processes (material acquisition, pre-processing), manufacturing (within the factory gate), downstream transportation and distribution, the product\'s use phase, and its end-of-life treatment. Emissions are categorized and reported according to their respective scopes.</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material sourcing or significant upstream activities from Europe to China)</w:t>
      </w:r>
    </w:p>
    <w:bookmarkEnd w:id="25"/>
    <w:bookmarkStart w:id="26" w:name="accounting-standard"/>
    <w:p>
      <w:pPr>
        <w:pStyle w:val="Heading3"/>
      </w:pPr>
      <w:r>
        <w:t xml:space="preserve">1.4 Accounting Standard</w:t>
      </w:r>
    </w:p>
    <w:p>
      <w:pPr>
        <w:pStyle w:val="FirstParagraph"/>
      </w:pPr>
      <w:r>
        <w:t xml:space="preserve">This PCF analysis is performed in strict adherence to the</w:t>
      </w:r>
      <w:r>
        <w:t xml:space="preserve"> </w:t>
      </w:r>
      <w:r>
        <w:rPr>
          <w:bCs/>
          <w:b/>
        </w:rPr>
        <w:t xml:space="preserve">GHG Protocol</w:t>
      </w:r>
      <w:r>
        <w:t xml:space="preserve"> </w:t>
      </w:r>
      <w:r>
        <w:t xml:space="preserve">standards for corporate accounting and reporting. This includes categorization of emissions into Scope 1, Scope 2, and Scope 3, and consideration of the latest updates relevant to 2026 reporting.</w:t>
      </w:r>
    </w:p>
    <w:bookmarkEnd w:id="26"/>
    <w:bookmarkStart w:id="27" w:name="allocation"/>
    <w:p>
      <w:pPr>
        <w:pStyle w:val="Heading3"/>
      </w:pPr>
      <w:r>
        <w:t xml:space="preserve">1.5 Allocation</w:t>
      </w:r>
    </w:p>
    <w:p>
      <w:pPr>
        <w:pStyle w:val="FirstParagraph"/>
      </w:pPr>
      <w:r>
        <w:t xml:space="preserve">Emissions are allocated directly to the functional unit (1.0 unit of tyuxpgvzil) based on mass, energy consumption, and distance, using a process-specific allocation approach where possible. For shared processes (e.g., transport of multiple goods), mass-based allocation is applied.</w:t>
      </w:r>
    </w:p>
    <w:p>
      <w:r>
        <w:pict>
          <v:rect style="width:0;height:1.5pt" o:hralign="center" o:hrstd="t" o:hr="t"/>
        </w:pict>
      </w:r>
    </w:p>
    <w:bookmarkEnd w:id="27"/>
    <w:bookmarkEnd w:id="28"/>
    <w:bookmarkStart w:id="35" w:name="Xe53ce5ff818de4e0425362e3274525332416797"/>
    <w:p>
      <w:pPr>
        <w:pStyle w:val="Heading2"/>
      </w:pPr>
      <w:r>
        <w:t xml:space="preserve">2. Lifecycle Mapping (LCI Inventory Stages) and Data Collection</w:t>
      </w:r>
    </w:p>
    <w:p>
      <w:pPr>
        <w:pStyle w:val="FirstParagraph"/>
      </w:pPr>
      <w:r>
        <w:t xml:space="preserve">The lifecycle of tyuxpgvzil is mapped into five key stages, and data relevant to each stage is collected. This report utilizes the provided detailed Bill of Materials (BOM) and customized energy, transport, use, and end-of-life data. Where numerical values for string-based parameters were not explicitly provided, illustrative assumptions have been made for calculation purposes, and are clearly stated below. Emission factors from industry-standard databases like Ecoinvent and DEFRA have been utilized for secondary data.</w:t>
      </w:r>
    </w:p>
    <w:bookmarkStart w:id="29" w:name="X483c45108fb7619e1714a993f320dbb1d07ded2"/>
    <w:p>
      <w:pPr>
        <w:pStyle w:val="Heading3"/>
      </w:pPr>
      <w:r>
        <w:t xml:space="preserve">2.1 Assumed Numerical Values for Calculation (Illustrative)</w:t>
      </w:r>
    </w:p>
    <w:p>
      <w:pPr>
        <w:pStyle w:val="FirstParagraph"/>
      </w:pPr>
      <w:r>
        <w:t xml:space="preserve">For the purpose of performing calculations based on the provided placeholder parameters, the following illustrative numerical values have been assumed:</w:t>
      </w:r>
    </w:p>
    <w:p>
      <w:pPr>
        <w:numPr>
          <w:ilvl w:val="0"/>
          <w:numId w:val="1002"/>
        </w:numPr>
        <w:pStyle w:val="Compact"/>
      </w:pPr>
      <w:r>
        <w:rPr>
          <w:bCs/>
          <w:b/>
        </w:rPr>
        <w:t xml:space="preserve">Product Name:</w:t>
      </w:r>
      <w:r>
        <w:t xml:space="preserve"> </w:t>
      </w:r>
      <w:r>
        <w:t xml:space="preserve">tyuxpgvzil (a Smart Home Device)</w:t>
      </w:r>
    </w:p>
    <w:p>
      <w:pPr>
        <w:numPr>
          <w:ilvl w:val="0"/>
          <w:numId w:val="1002"/>
        </w:numPr>
        <w:pStyle w:val="Compact"/>
      </w:pPr>
      <w:r>
        <w:rPr>
          <w:bCs/>
          <w:b/>
        </w:rPr>
        <w:t xml:space="preserve">Transport Mode (\'Select Mode\'):</w:t>
      </w:r>
      <w:r>
        <w:t xml:space="preserve"> </w:t>
      </w:r>
      <w:r>
        <w:t xml:space="preserve">Road Freight (Heavy Goods Vehicle, HGV)</w:t>
      </w:r>
    </w:p>
    <w:p>
      <w:pPr>
        <w:numPr>
          <w:ilvl w:val="0"/>
          <w:numId w:val="1002"/>
        </w:numPr>
        <w:pStyle w:val="Compact"/>
      </w:pPr>
      <w:r>
        <w:rPr>
          <w:bCs/>
          <w:b/>
        </w:rPr>
        <w:t xml:space="preserve">Transport Distance (\'pnhdqqedls\'):</w:t>
      </w:r>
      <w:r>
        <w:t xml:space="preserve"> </w:t>
      </w:r>
      <w:r>
        <w:t xml:space="preserve">2000 km (for main product transport)</w:t>
      </w:r>
    </w:p>
    <w:p>
      <w:pPr>
        <w:numPr>
          <w:ilvl w:val="0"/>
          <w:numId w:val="1002"/>
        </w:numPr>
        <w:pStyle w:val="Compact"/>
      </w:pPr>
      <w:r>
        <w:rPr>
          <w:bCs/>
          <w:b/>
        </w:rPr>
        <w:t xml:space="preserve">Last-Mile Delivery Channel (\'Delivery Type\'):</w:t>
      </w:r>
      <w:r>
        <w:t xml:space="preserve"> </w:t>
      </w:r>
      <w:r>
        <w:t xml:space="preserve">Parcel Van</w:t>
      </w:r>
    </w:p>
    <w:p>
      <w:pPr>
        <w:numPr>
          <w:ilvl w:val="0"/>
          <w:numId w:val="1002"/>
        </w:numPr>
        <w:pStyle w:val="Compact"/>
      </w:pPr>
      <w:r>
        <w:rPr>
          <w:bCs/>
          <w:b/>
        </w:rPr>
        <w:t xml:space="preserve">Last-Mile Delivery Distance:</w:t>
      </w:r>
      <w:r>
        <w:t xml:space="preserve"> </w:t>
      </w:r>
      <w:r>
        <w:t xml:space="preserve">50 km (illustrative)</w:t>
      </w:r>
    </w:p>
    <w:p>
      <w:pPr>
        <w:numPr>
          <w:ilvl w:val="0"/>
          <w:numId w:val="1002"/>
        </w:numPr>
        <w:pStyle w:val="Compact"/>
      </w:pPr>
      <w:r>
        <w:rPr>
          <w:bCs/>
          <w:b/>
        </w:rPr>
        <w:t xml:space="preserve">Renewable Energy Usage (\'ysxmydqujf\'):</w:t>
      </w:r>
      <w:r>
        <w:t xml:space="preserve"> </w:t>
      </w:r>
      <w:r>
        <w:t xml:space="preserve">60% of production energy</w:t>
      </w:r>
    </w:p>
    <w:p>
      <w:pPr>
        <w:numPr>
          <w:ilvl w:val="0"/>
          <w:numId w:val="1002"/>
        </w:numPr>
        <w:pStyle w:val="Compact"/>
      </w:pPr>
      <w:r>
        <w:rPr>
          <w:bCs/>
          <w:b/>
        </w:rPr>
        <w:t xml:space="preserve">Energy Intensity (kWh/unit) (\'epnkwnjhtk\'):</w:t>
      </w:r>
      <w:r>
        <w:t xml:space="preserve"> </w:t>
      </w:r>
      <w:r>
        <w:t xml:space="preserve">5 kWh/unit (for production)</w:t>
      </w:r>
    </w:p>
    <w:p>
      <w:pPr>
        <w:numPr>
          <w:ilvl w:val="0"/>
          <w:numId w:val="1002"/>
        </w:numPr>
        <w:pStyle w:val="Compact"/>
      </w:pPr>
      <w:r>
        <w:rPr>
          <w:bCs/>
          <w:b/>
        </w:rPr>
        <w:t xml:space="preserve">Product Lifespan (\'vvlrxnimkr\'):</w:t>
      </w:r>
      <w:r>
        <w:t xml:space="preserve"> </w:t>
      </w:r>
      <w:r>
        <w:t xml:space="preserve">5 years</w:t>
      </w:r>
    </w:p>
    <w:p>
      <w:pPr>
        <w:numPr>
          <w:ilvl w:val="0"/>
          <w:numId w:val="1002"/>
        </w:numPr>
        <w:pStyle w:val="Compact"/>
      </w:pPr>
      <w:r>
        <w:rPr>
          <w:bCs/>
          <w:b/>
        </w:rPr>
        <w:t xml:space="preserve">Energy Consumption in Use (\'dmqnopqiei\'):</w:t>
      </w:r>
      <w:r>
        <w:t xml:space="preserve"> </w:t>
      </w:r>
      <w:r>
        <w:t xml:space="preserve">2 kWh/year</w:t>
      </w:r>
    </w:p>
    <w:p>
      <w:pPr>
        <w:numPr>
          <w:ilvl w:val="0"/>
          <w:numId w:val="1002"/>
        </w:numPr>
        <w:pStyle w:val="Compact"/>
      </w:pPr>
      <w:r>
        <w:rPr>
          <w:bCs/>
          <w:b/>
        </w:rPr>
        <w:t xml:space="preserve">Recyclability Percentage (\'fhuhneqfvf\'):</w:t>
      </w:r>
      <w:r>
        <w:t xml:space="preserve"> </w:t>
      </w:r>
      <w:r>
        <w:t xml:space="preserve">70%</w:t>
      </w:r>
    </w:p>
    <w:p>
      <w:pPr>
        <w:numPr>
          <w:ilvl w:val="0"/>
          <w:numId w:val="1002"/>
        </w:numPr>
        <w:pStyle w:val="Compact"/>
      </w:pPr>
      <w:r>
        <w:rPr>
          <w:bCs/>
          <w:b/>
        </w:rPr>
        <w:t xml:space="preserve">Circular/Take-back Programs (\'ksijgpodfq\'):</w:t>
      </w:r>
      <w:r>
        <w:t xml:space="preserve"> </w:t>
      </w:r>
      <w:r>
        <w:t xml:space="preserve">Programs are in place.</w:t>
      </w:r>
    </w:p>
    <w:p>
      <w:pPr>
        <w:numPr>
          <w:ilvl w:val="0"/>
          <w:numId w:val="1002"/>
        </w:numPr>
        <w:pStyle w:val="Compact"/>
      </w:pPr>
      <w:r>
        <w:rPr>
          <w:bCs/>
          <w:b/>
        </w:rPr>
        <w:t xml:space="preserve">Upstream Transport Distance (Europe to China):</w:t>
      </w:r>
      <w:r>
        <w:t xml:space="preserve"> </w:t>
      </w:r>
      <w:r>
        <w:t xml:space="preserve">5000 km (illustrative for raw materials)</w:t>
      </w:r>
    </w:p>
    <w:p>
      <w:pPr>
        <w:numPr>
          <w:ilvl w:val="0"/>
          <w:numId w:val="1002"/>
        </w:numPr>
        <w:pStyle w:val="Compact"/>
      </w:pPr>
      <w:r>
        <w:rPr>
          <w:bCs/>
          <w:b/>
        </w:rPr>
        <w:t xml:space="preserve">Product Weight for Transport/EoL:</w:t>
      </w:r>
      <w:r>
        <w:t xml:space="preserve"> </w:t>
      </w:r>
      <w:r>
        <w:t xml:space="preserve">0.5 kg (estimated from BOM total quantity)</w:t>
      </w:r>
    </w:p>
    <w:bookmarkEnd w:id="29"/>
    <w:bookmarkStart w:id="30" w:name="X4dafafe4a63eba5025fca8fd479a2f5da492c68"/>
    <w:p>
      <w:pPr>
        <w:pStyle w:val="Heading3"/>
      </w:pPr>
      <w:r>
        <w:t xml:space="preserve">2.2 Material Acquisition &amp; Pre-processing (Upstream - Scope 3, Category 1)</w:t>
      </w:r>
    </w:p>
    <w:p>
      <w:pPr>
        <w:pStyle w:val="FirstParagraph"/>
      </w:pPr>
      <w:r>
        <w:t xml:space="preserve">The Detailed Bill of Materials (BOM), provided as "niiznnts", is critical for calculating the material impact. The following table represents the parsed and interpreted BOM data, with each item\'s \'Total Carbon\' value directly utilized as specified in the prompt.</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 kg</w:t>
            </w:r>
          </w:p>
        </w:tc>
        <w:tc>
          <w:tcPr/>
          <w:p>
            <w:pPr>
              <w:pStyle w:val="Compact"/>
              <w:jc w:val="left"/>
            </w:pPr>
            <w:r>
              <w:t xml:space="preserve">7.5</w:t>
            </w:r>
          </w:p>
        </w:tc>
        <w:tc>
          <w:tcPr/>
          <w:p>
            <w:pPr>
              <w:pStyle w:val="Compact"/>
              <w:jc w:val="left"/>
            </w:pPr>
            <w:r>
              <w:t xml:space="preserve">1.500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 kg</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3</w:t>
            </w:r>
          </w:p>
        </w:tc>
        <w:tc>
          <w:tcPr/>
          <w:p>
            <w:pPr>
              <w:pStyle w:val="Compact"/>
              <w:jc w:val="left"/>
            </w:pPr>
            <w:r>
              <w:t xml:space="preserve">Electronic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 kg</w:t>
            </w:r>
          </w:p>
        </w:tc>
        <w:tc>
          <w:tcPr/>
          <w:p>
            <w:pPr>
              <w:pStyle w:val="Compact"/>
              <w:jc w:val="left"/>
            </w:pPr>
            <w:r>
              <w:t xml:space="preserve">15.0</w:t>
            </w:r>
          </w:p>
        </w:tc>
        <w:tc>
          <w:tcPr/>
          <w:p>
            <w:pPr>
              <w:pStyle w:val="Compact"/>
              <w:jc w:val="left"/>
            </w:pPr>
            <w:r>
              <w:t xml:space="preserve">0.750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Electro-chemical</w:t>
            </w:r>
          </w:p>
        </w:tc>
        <w:tc>
          <w:tcPr/>
          <w:p>
            <w:pPr>
              <w:pStyle w:val="Compact"/>
              <w:jc w:val="left"/>
            </w:pPr>
            <w:r>
              <w:t xml:space="preserve">Manufacturing</w:t>
            </w:r>
          </w:p>
        </w:tc>
        <w:tc>
          <w:tcPr/>
          <w:p>
            <w:pPr>
              <w:pStyle w:val="Compact"/>
              <w:jc w:val="left"/>
            </w:pPr>
            <w:r>
              <w:t xml:space="preserve">0.08 kg</w:t>
            </w:r>
          </w:p>
        </w:tc>
        <w:tc>
          <w:tcPr/>
          <w:p>
            <w:pPr>
              <w:pStyle w:val="Compact"/>
              <w:jc w:val="left"/>
            </w:pPr>
            <w:r>
              <w:t xml:space="preserve">12.0</w:t>
            </w:r>
          </w:p>
        </w:tc>
        <w:tc>
          <w:tcPr/>
          <w:p>
            <w:pPr>
              <w:pStyle w:val="Compact"/>
              <w:jc w:val="left"/>
            </w:pPr>
            <w:r>
              <w:t xml:space="preserve">0.960</w:t>
            </w:r>
          </w:p>
        </w:tc>
      </w:tr>
      <w:tr>
        <w:tc>
          <w:tcPr/>
          <w:p>
            <w:pPr>
              <w:pStyle w:val="Compact"/>
              <w:jc w:val="left"/>
            </w:pPr>
            <w:r>
              <w:t xml:space="preserve">5</w:t>
            </w:r>
          </w:p>
        </w:tc>
        <w:tc>
          <w:tcPr/>
          <w:p>
            <w:pPr>
              <w:pStyle w:val="Compact"/>
              <w:jc w:val="left"/>
            </w:pPr>
            <w:r>
              <w:t xml:space="preserve">Cardboard Packaging</w:t>
            </w:r>
          </w:p>
        </w:tc>
        <w:tc>
          <w:tcPr/>
          <w:p>
            <w:pPr>
              <w:pStyle w:val="Compact"/>
              <w:jc w:val="left"/>
            </w:pPr>
            <w:r>
              <w:t xml:space="preserve">Paper/Wood</w:t>
            </w:r>
          </w:p>
        </w:tc>
        <w:tc>
          <w:tcPr/>
          <w:p>
            <w:pPr>
              <w:pStyle w:val="Compact"/>
              <w:jc w:val="left"/>
            </w:pPr>
            <w:r>
              <w:t xml:space="preserve">Corrugation</w:t>
            </w:r>
          </w:p>
        </w:tc>
        <w:tc>
          <w:tcPr/>
          <w:p>
            <w:pPr>
              <w:pStyle w:val="Compact"/>
              <w:jc w:val="left"/>
            </w:pPr>
            <w:r>
              <w:t xml:space="preserve">0.03 kg</w:t>
            </w:r>
          </w:p>
        </w:tc>
        <w:tc>
          <w:tcPr/>
          <w:p>
            <w:pPr>
              <w:pStyle w:val="Compact"/>
              <w:jc w:val="left"/>
            </w:pPr>
            <w:r>
              <w:t xml:space="preserve">1.0</w:t>
            </w:r>
          </w:p>
        </w:tc>
        <w:tc>
          <w:tcPr/>
          <w:p>
            <w:pPr>
              <w:pStyle w:val="Compact"/>
              <w:jc w:val="left"/>
            </w:pPr>
            <w:r>
              <w:t xml:space="preserve">0.030</w:t>
            </w:r>
          </w:p>
        </w:tc>
      </w:tr>
      <w:tr>
        <w:tc>
          <w:tcPr>
            <w:gridSpan w:val="6"/>
          </w:tcPr>
          <w:p>
            <w:pPr>
              <w:pStyle w:val="Compact"/>
              <w:jc w:val="right"/>
            </w:pPr>
            <w:r>
              <w:rPr>
                <w:bCs/>
                <w:b/>
              </w:rPr>
              <w:t xml:space="preserve">Total Material Emissions (kg CO2e):</w:t>
            </w:r>
          </w:p>
        </w:tc>
        <w:tc>
          <w:tcPr/>
          <w:p>
            <w:pPr>
              <w:pStyle w:val="Compact"/>
              <w:jc w:val="left"/>
            </w:pPr>
            <w:r>
              <w:rPr>
                <w:bCs/>
                <w:b/>
              </w:rPr>
              <w:t xml:space="preserve">3.615</w:t>
            </w:r>
          </w:p>
        </w:tc>
      </w:tr>
    </w:tbl>
    <w:bookmarkEnd w:id="30"/>
    <w:bookmarkStart w:id="31" w:name="Xb13879404536004be110bb520cc080f7cf43298"/>
    <w:p>
      <w:pPr>
        <w:pStyle w:val="Heading3"/>
      </w:pPr>
      <w:r>
        <w:t xml:space="preserve">2.3 Production/Manufacturing (Factory Gate - Scope 2)</w:t>
      </w:r>
    </w:p>
    <w:p>
      <w:pPr>
        <w:pStyle w:val="FirstParagraph"/>
      </w:pPr>
      <w:r>
        <w:t xml:space="preserve">Emissions from the manufacturing process within the factory gate are calculated based on the energy intensity and renewable energy usage. The geographic scope for final production is China.</w:t>
      </w:r>
    </w:p>
    <w:p>
      <w:pPr>
        <w:numPr>
          <w:ilvl w:val="0"/>
          <w:numId w:val="1003"/>
        </w:numPr>
        <w:pStyle w:val="Compact"/>
      </w:pPr>
      <w:r>
        <w:rPr>
          <w:bCs/>
          <w:b/>
        </w:rPr>
        <w:t xml:space="preserve">Energy Intensity (epnkwnjhtk):</w:t>
      </w:r>
      <w:r>
        <w:t xml:space="preserve"> </w:t>
      </w:r>
      <w:r>
        <w:t xml:space="preserve">5 kWh/unit</w:t>
      </w:r>
    </w:p>
    <w:p>
      <w:pPr>
        <w:numPr>
          <w:ilvl w:val="0"/>
          <w:numId w:val="1003"/>
        </w:numPr>
        <w:pStyle w:val="Compact"/>
      </w:pPr>
      <w:r>
        <w:rPr>
          <w:bCs/>
          <w:b/>
        </w:rPr>
        <w:t xml:space="preserve">Renewable Energy Usage (ysxmydqujf):</w:t>
      </w:r>
      <w:r>
        <w:t xml:space="preserve"> </w:t>
      </w:r>
      <w:r>
        <w:t xml:space="preserve">60%</w:t>
      </w:r>
    </w:p>
    <w:p>
      <w:pPr>
        <w:numPr>
          <w:ilvl w:val="0"/>
          <w:numId w:val="1003"/>
        </w:numPr>
        <w:pStyle w:val="Compact"/>
      </w:pPr>
      <w:r>
        <w:rPr>
          <w:bCs/>
          <w:b/>
        </w:rPr>
        <w:t xml:space="preserve">Non-renewable energy:</w:t>
      </w:r>
      <w:r>
        <w:t xml:space="preserve"> </w:t>
      </w:r>
      <w:r>
        <w:t xml:space="preserve">5 kWh/unit * (1 - 0.60) = 2 kWh/unit</w:t>
      </w:r>
    </w:p>
    <w:p>
      <w:pPr>
        <w:numPr>
          <w:ilvl w:val="0"/>
          <w:numId w:val="1003"/>
        </w:numPr>
        <w:pStyle w:val="Compact"/>
      </w:pPr>
      <w:r>
        <w:rPr>
          <w:bCs/>
          <w:b/>
        </w:rPr>
        <w:t xml:space="preserve">Renewable energy:</w:t>
      </w:r>
      <w:r>
        <w:t xml:space="preserve"> </w:t>
      </w:r>
      <w:r>
        <w:t xml:space="preserve">5 kWh/unit * 0.60 = 3 kWh/unit</w:t>
      </w:r>
    </w:p>
    <w:p>
      <w:pPr>
        <w:numPr>
          <w:ilvl w:val="0"/>
          <w:numId w:val="1003"/>
        </w:numPr>
        <w:pStyle w:val="Compact"/>
      </w:pPr>
      <w:r>
        <w:rPr>
          <w:bCs/>
          <w:b/>
        </w:rPr>
        <w:t xml:space="preserve">China Grid Electricity Emission Factor:</w:t>
      </w:r>
      <w:r>
        <w:t xml:space="preserve"> </w:t>
      </w:r>
      <w:r>
        <w:t xml:space="preserve">0.6 kg CO2e/kWh (illustrative industry average, sourced from various studies including MEE and IEA data for China)</w:t>
      </w:r>
    </w:p>
    <w:p>
      <w:pPr>
        <w:numPr>
          <w:ilvl w:val="0"/>
          <w:numId w:val="1003"/>
        </w:numPr>
        <w:pStyle w:val="Compact"/>
      </w:pPr>
      <w:r>
        <w:rPr>
          <w:bCs/>
          <w:b/>
        </w:rPr>
        <w:t xml:space="preserve">Renewable Electricity Emission Factor:</w:t>
      </w:r>
      <w:r>
        <w:t xml:space="preserve"> </w:t>
      </w:r>
      <w:r>
        <w:t xml:space="preserve">0.0 kg CO2e/kWh (assumed for 100% renewable sources)</w:t>
      </w:r>
    </w:p>
    <w:bookmarkEnd w:id="31"/>
    <w:bookmarkStart w:id="32" w:name="X256b0ce28e2e15c25fda7136157be9bb3d3298a"/>
    <w:p>
      <w:pPr>
        <w:pStyle w:val="Heading3"/>
      </w:pPr>
      <w:r>
        <w:t xml:space="preserve">2.4 Transport &amp; Distribution (Upstream &amp; Downstream - Scope 3, Categories 4 &amp; 9)</w:t>
      </w:r>
    </w:p>
    <w:p>
      <w:pPr>
        <w:pStyle w:val="FirstParagraph"/>
      </w:pPr>
      <w:r>
        <w:t xml:space="preserve">Transportation emissions are calculated for both upstream raw material delivery and downstream product distribution, incorporating the specified modes and distances.</w:t>
      </w:r>
    </w:p>
    <w:p>
      <w:pPr>
        <w:numPr>
          <w:ilvl w:val="0"/>
          <w:numId w:val="1004"/>
        </w:numPr>
        <w:pStyle w:val="Compact"/>
      </w:pPr>
      <w:r>
        <w:rPr>
          <w:bCs/>
          <w:b/>
        </w:rPr>
        <w:t xml:space="preserve">Assumed Product Weight:</w:t>
      </w:r>
      <w:r>
        <w:t xml:space="preserve"> </w:t>
      </w:r>
      <w:r>
        <w:t xml:space="preserve">0.5 kg (based on total BOM quantity)</w:t>
      </w:r>
    </w:p>
    <w:p>
      <w:pPr>
        <w:numPr>
          <w:ilvl w:val="0"/>
          <w:numId w:val="1004"/>
        </w:numPr>
        <w:pStyle w:val="Compact"/>
      </w:pPr>
      <w:r>
        <w:rPr>
          <w:bCs/>
          <w:b/>
        </w:rPr>
        <w:t xml:space="preserve">Road Freight (HGV) Emission Factor:</w:t>
      </w:r>
      <w:r>
        <w:t xml:space="preserve"> </w:t>
      </w:r>
      <w:r>
        <w:t xml:space="preserve">0.09 kg CO2e/tkm (illustrative industry average, e.g., from DEFRA/BEIS data)</w:t>
      </w:r>
    </w:p>
    <w:p>
      <w:pPr>
        <w:numPr>
          <w:ilvl w:val="0"/>
          <w:numId w:val="1004"/>
        </w:numPr>
        <w:pStyle w:val="Compact"/>
      </w:pPr>
      <w:r>
        <w:rPr>
          <w:bCs/>
          <w:b/>
        </w:rPr>
        <w:t xml:space="preserve">Parcel Van Emission Factor:</w:t>
      </w:r>
      <w:r>
        <w:t xml:space="preserve"> </w:t>
      </w:r>
      <w:r>
        <w:t xml:space="preserve">0.2 kg CO2e/tkm (illustrative industry average, generally higher than HGV for per tkm due to smaller loads/less efficiency)</w:t>
      </w:r>
    </w:p>
    <w:bookmarkEnd w:id="32"/>
    <w:bookmarkStart w:id="33" w:name="X01fffecb4d51cf9638741502492363d57dc681a"/>
    <w:p>
      <w:pPr>
        <w:pStyle w:val="Heading3"/>
      </w:pPr>
      <w:r>
        <w:t xml:space="preserve">2.5 Use Phase (Downstream - Scope 3, Category 11)</w:t>
      </w:r>
    </w:p>
    <w:p>
      <w:pPr>
        <w:pStyle w:val="FirstParagraph"/>
      </w:pPr>
      <w:r>
        <w:t xml:space="preserve">The use phase emissions are based on the product\'s expected lifespan and its energy consumption during operation.</w:t>
      </w:r>
    </w:p>
    <w:p>
      <w:pPr>
        <w:numPr>
          <w:ilvl w:val="0"/>
          <w:numId w:val="1005"/>
        </w:numPr>
        <w:pStyle w:val="Compact"/>
      </w:pPr>
      <w:r>
        <w:rPr>
          <w:bCs/>
          <w:b/>
        </w:rPr>
        <w:t xml:space="preserve">Product Lifespan (vvlrxnimkr):</w:t>
      </w:r>
      <w:r>
        <w:t xml:space="preserve"> </w:t>
      </w:r>
      <w:r>
        <w:t xml:space="preserve">5 years</w:t>
      </w:r>
    </w:p>
    <w:p>
      <w:pPr>
        <w:numPr>
          <w:ilvl w:val="0"/>
          <w:numId w:val="1005"/>
        </w:numPr>
        <w:pStyle w:val="Compact"/>
      </w:pPr>
      <w:r>
        <w:rPr>
          <w:bCs/>
          <w:b/>
        </w:rPr>
        <w:t xml:space="preserve">Energy Consumption in Use (dmqnopqiei):</w:t>
      </w:r>
      <w:r>
        <w:t xml:space="preserve"> </w:t>
      </w:r>
      <w:r>
        <w:t xml:space="preserve">2 kWh/year</w:t>
      </w:r>
    </w:p>
    <w:p>
      <w:pPr>
        <w:numPr>
          <w:ilvl w:val="0"/>
          <w:numId w:val="1005"/>
        </w:numPr>
        <w:pStyle w:val="Compact"/>
      </w:pPr>
      <w:r>
        <w:rPr>
          <w:bCs/>
          <w:b/>
        </w:rPr>
        <w:t xml:space="preserve">Electricity Emission Factor:</w:t>
      </w:r>
      <w:r>
        <w:t xml:space="preserve"> </w:t>
      </w:r>
      <w:r>
        <w:t xml:space="preserve">0.6 kg CO2e/kWh (China Grid Mix, as in production)</w:t>
      </w:r>
    </w:p>
    <w:bookmarkEnd w:id="33"/>
    <w:bookmarkStart w:id="34" w:name="Xfd069e7e5106f6c55e532b52df751e12046219f"/>
    <w:p>
      <w:pPr>
        <w:pStyle w:val="Heading3"/>
      </w:pPr>
      <w:r>
        <w:t xml:space="preserve">2.6 End-of-Life (Downstream - Scope 3, Category 12)</w:t>
      </w:r>
    </w:p>
    <w:p>
      <w:pPr>
        <w:pStyle w:val="FirstParagraph"/>
      </w:pPr>
      <w:r>
        <w:t xml:space="preserve">End-of-life impacts consider the recyclability of the product and the presence of circular programs.</w:t>
      </w:r>
    </w:p>
    <w:p>
      <w:pPr>
        <w:numPr>
          <w:ilvl w:val="0"/>
          <w:numId w:val="1006"/>
        </w:numPr>
        <w:pStyle w:val="Compact"/>
      </w:pPr>
      <w:r>
        <w:rPr>
          <w:bCs/>
          <w:b/>
        </w:rPr>
        <w:t xml:space="preserve">Recyclability Percentage (fhuhneqfvf):</w:t>
      </w:r>
      <w:r>
        <w:t xml:space="preserve"> </w:t>
      </w:r>
      <w:r>
        <w:t xml:space="preserve">70%</w:t>
      </w:r>
    </w:p>
    <w:p>
      <w:pPr>
        <w:numPr>
          <w:ilvl w:val="0"/>
          <w:numId w:val="1006"/>
        </w:numPr>
        <w:pStyle w:val="Compact"/>
      </w:pPr>
      <w:r>
        <w:rPr>
          <w:bCs/>
          <w:b/>
        </w:rPr>
        <w:t xml:space="preserve">Disposal (Landfill/Incineration) Emission Factor:</w:t>
      </w:r>
      <w:r>
        <w:t xml:space="preserve"> </w:t>
      </w:r>
      <w:r>
        <w:t xml:space="preserve">0.5 kg CO2e/kg (illustrative for mixed waste disposal)</w:t>
      </w:r>
    </w:p>
    <w:p>
      <w:pPr>
        <w:numPr>
          <w:ilvl w:val="0"/>
          <w:numId w:val="1006"/>
        </w:numPr>
        <w:pStyle w:val="Compact"/>
      </w:pPr>
      <w:r>
        <w:rPr>
          <w:bCs/>
          <w:b/>
        </w:rPr>
        <w:t xml:space="preserve">Avoided Emissions from Recycling:</w:t>
      </w:r>
      <w:r>
        <w:t xml:space="preserve"> </w:t>
      </w:r>
      <w:r>
        <w:t xml:space="preserve">-1.0 kg CO2e/kg (illustrative average, acknowledging variation by material; recycling generally reduces emissions compared to virgin material production)</w:t>
      </w:r>
    </w:p>
    <w:p>
      <w:pPr>
        <w:numPr>
          <w:ilvl w:val="0"/>
          <w:numId w:val="1006"/>
        </w:numPr>
        <w:pStyle w:val="Compact"/>
      </w:pPr>
      <w:r>
        <w:rPr>
          <w:bCs/>
          <w:b/>
        </w:rPr>
        <w:t xml:space="preserve">Circular/Take-back Programs (ksijgpodfq):</w:t>
      </w:r>
      <w:r>
        <w:t xml:space="preserve"> </w:t>
      </w:r>
      <w:r>
        <w:t xml:space="preserve">Circular and take-back programs are actively promoted by jqhkxzkylr to facilitate product recovery and material looping.</w:t>
      </w:r>
    </w:p>
    <w:p>
      <w:r>
        <w:pict>
          <v:rect style="width:0;height:1.5pt" o:hralign="center" o:hrstd="t" o:hr="t"/>
        </w:pict>
      </w:r>
    </w:p>
    <w:bookmarkEnd w:id="34"/>
    <w:bookmarkEnd w:id="35"/>
    <w:bookmarkStart w:id="44" w:name="X439a6e6dcb43c636bf515ffaf3f59bce0bd6490"/>
    <w:p>
      <w:pPr>
        <w:pStyle w:val="Heading2"/>
      </w:pPr>
      <w:r>
        <w:t xml:space="preserve">3. Emission Calculation (Activity * Emission Factor = CO2e)</w:t>
      </w:r>
    </w:p>
    <w:p>
      <w:pPr>
        <w:pStyle w:val="FirstParagraph"/>
      </w:pPr>
      <w:r>
        <w:t xml:space="preserve">The emissions for each lifecycle stage are calculated and categorized according to the GHG Protocol scopes.</w:t>
      </w:r>
    </w:p>
    <w:bookmarkStart w:id="36" w:name="scope-1-emissions"/>
    <w:p>
      <w:pPr>
        <w:pStyle w:val="Heading3"/>
      </w:pPr>
      <w:r>
        <w:t xml:space="preserve">3.1 Scope 1 Emissions</w:t>
      </w:r>
    </w:p>
    <w:p>
      <w:pPr>
        <w:pStyle w:val="FirstParagraph"/>
      </w:pPr>
      <w:r>
        <w:t xml:space="preserve">Given the "factory_gate" system boundary for the core production and typical PCF scope, direct Scope 1 emissions (e.g., from on-site fuel combustion or fugitive emissions owned or controlled by jqhkxzkylr for *this specific product\'s manufacturing*) are considered negligible or embedded within Scope 2 electricity generation if purchased, or within Scope 3 for purchased materials. No specific Scope 1 activities directly attributable to the product itself were provided as parameters.</w:t>
      </w:r>
    </w:p>
    <w:bookmarkEnd w:id="36"/>
    <w:bookmarkStart w:id="37" w:name="X0eb7813d20e0b5eea71aad60ebf28344aa54270"/>
    <w:p>
      <w:pPr>
        <w:pStyle w:val="Heading3"/>
      </w:pPr>
      <w:r>
        <w:t xml:space="preserve">3.2 Scope 2 Emissions: Purchased Energy for Production</w:t>
      </w:r>
    </w:p>
    <w:p>
      <w:pPr>
        <w:pStyle w:val="FirstParagraph"/>
      </w:pPr>
      <w:r>
        <w:t xml:space="preserve">These are indirect emissions from the generation of purchased electricity for the manufacturing of tyuxpgvzil.</w:t>
      </w:r>
    </w:p>
    <w:p>
      <w:pPr>
        <w:numPr>
          <w:ilvl w:val="0"/>
          <w:numId w:val="1007"/>
        </w:numPr>
        <w:pStyle w:val="Compact"/>
      </w:pPr>
      <w:r>
        <w:t xml:space="preserve">Non-renewable energy consumption: 2 kWh</w:t>
      </w:r>
    </w:p>
    <w:p>
      <w:pPr>
        <w:numPr>
          <w:ilvl w:val="0"/>
          <w:numId w:val="1007"/>
        </w:numPr>
        <w:pStyle w:val="Compact"/>
      </w:pPr>
      <w:r>
        <w:t xml:space="preserve">Non-renewable energy emissions: 2 kWh * 0.6 kg CO2e/kWh = 1.200 kg CO2e</w:t>
      </w:r>
    </w:p>
    <w:p>
      <w:pPr>
        <w:numPr>
          <w:ilvl w:val="0"/>
          <w:numId w:val="1007"/>
        </w:numPr>
        <w:pStyle w:val="Compact"/>
      </w:pPr>
      <w:r>
        <w:t xml:space="preserve">Renewable energy consumption: 3 kWh</w:t>
      </w:r>
    </w:p>
    <w:p>
      <w:pPr>
        <w:numPr>
          <w:ilvl w:val="0"/>
          <w:numId w:val="1007"/>
        </w:numPr>
        <w:pStyle w:val="Compact"/>
      </w:pPr>
      <w:r>
        <w:t xml:space="preserve">Renewable energy emissions: 3 kWh * 0.0 kg CO2e/kWh = 0.000 kg CO2e</w:t>
      </w:r>
    </w:p>
    <w:p>
      <w:pPr>
        <w:numPr>
          <w:ilvl w:val="0"/>
          <w:numId w:val="1007"/>
        </w:numPr>
        <w:pStyle w:val="Compact"/>
      </w:pPr>
      <w:r>
        <w:rPr>
          <w:bCs/>
          <w:b/>
        </w:rPr>
        <w:t xml:space="preserve">Total Scope 2 Emissions: 1.200 kg CO2e</w:t>
      </w:r>
    </w:p>
    <w:bookmarkEnd w:id="37"/>
    <w:bookmarkStart w:id="42" w:name="scope-3-emissions-value-chain-activities"/>
    <w:p>
      <w:pPr>
        <w:pStyle w:val="Heading3"/>
      </w:pPr>
      <w:r>
        <w:t xml:space="preserve">3.3 Scope 3 Emissions: Value Chain Activities</w:t>
      </w:r>
    </w:p>
    <w:p>
      <w:pPr>
        <w:pStyle w:val="FirstParagraph"/>
      </w:pPr>
      <w:r>
        <w:t xml:space="preserve">Scope 3 emissions encompass all other indirect emissions in the value chain, both upstream and downstream.</w:t>
      </w:r>
    </w:p>
    <w:bookmarkStart w:id="38" w:name="Xab9729a0caae076ca89f2f71668734f92723cf2"/>
    <w:p>
      <w:pPr>
        <w:pStyle w:val="Heading4"/>
      </w:pPr>
      <w:r>
        <w:t xml:space="preserve">3.3.1 Category 1: Purchased Goods and Services (Materials)</w:t>
      </w:r>
    </w:p>
    <w:p>
      <w:pPr>
        <w:pStyle w:val="FirstParagraph"/>
      </w:pPr>
      <w:r>
        <w:t xml:space="preserve">Emissions from the extraction, production, and pre-processing of raw materials as per the Detailed BOM.</w:t>
      </w:r>
    </w:p>
    <w:p>
      <w:pPr>
        <w:numPr>
          <w:ilvl w:val="0"/>
          <w:numId w:val="1008"/>
        </w:numPr>
        <w:pStyle w:val="Compact"/>
      </w:pPr>
      <w:r>
        <w:t xml:space="preserve">Total Material Emissions (sum from BOM table): 3.615 kg CO2e</w:t>
      </w:r>
    </w:p>
    <w:p>
      <w:pPr>
        <w:numPr>
          <w:ilvl w:val="0"/>
          <w:numId w:val="1008"/>
        </w:numPr>
        <w:pStyle w:val="Compact"/>
      </w:pPr>
      <w:r>
        <w:rPr>
          <w:bCs/>
          <w:b/>
        </w:rPr>
        <w:t xml:space="preserve">Total Scope 3 (Materials) Emissions: 3.615 kg CO2e</w:t>
      </w:r>
    </w:p>
    <w:bookmarkEnd w:id="38"/>
    <w:bookmarkStart w:id="39" w:name="X21658814ba1df78d749153f7220ead88136567b"/>
    <w:p>
      <w:pPr>
        <w:pStyle w:val="Heading4"/>
      </w:pPr>
      <w:r>
        <w:t xml:space="preserve">3.3.2 Category 4 &amp; 9: Upstream and Downstream Transportation and Distribution</w:t>
      </w:r>
    </w:p>
    <w:p>
      <w:pPr>
        <w:pStyle w:val="FirstParagraph"/>
      </w:pPr>
      <w:r>
        <w:t xml:space="preserve">Emissions from transporting raw materials and the final product.</w:t>
      </w:r>
    </w:p>
    <w:p>
      <w:pPr>
        <w:numPr>
          <w:ilvl w:val="0"/>
          <w:numId w:val="1009"/>
        </w:numPr>
        <w:pStyle w:val="Compact"/>
      </w:pPr>
      <w:r>
        <w:rPr>
          <w:bCs/>
          <w:b/>
        </w:rPr>
        <w:t xml:space="preserve">Upstream Transport (Raw Materials from Europe to China):</w:t>
      </w:r>
    </w:p>
    <w:p>
      <w:pPr>
        <w:numPr>
          <w:ilvl w:val="1"/>
          <w:numId w:val="1010"/>
        </w:numPr>
        <w:pStyle w:val="Compact"/>
      </w:pPr>
      <w:r>
        <w:t xml:space="preserve">Mass: 0.51 kg (total BOM mass)</w:t>
      </w:r>
    </w:p>
    <w:p>
      <w:pPr>
        <w:numPr>
          <w:ilvl w:val="1"/>
          <w:numId w:val="1010"/>
        </w:numPr>
        <w:pStyle w:val="Compact"/>
      </w:pPr>
      <w:r>
        <w:t xml:space="preserve">Distance: 5000 km</w:t>
      </w:r>
    </w:p>
    <w:p>
      <w:pPr>
        <w:numPr>
          <w:ilvl w:val="1"/>
          <w:numId w:val="1010"/>
        </w:numPr>
        <w:pStyle w:val="Compact"/>
      </w:pPr>
      <w:r>
        <w:t xml:space="preserve">Mode: Road Freight (HGV), EF: 0.09 kg CO2e/tkm</w:t>
      </w:r>
    </w:p>
    <w:p>
      <w:pPr>
        <w:numPr>
          <w:ilvl w:val="1"/>
          <w:numId w:val="1010"/>
        </w:numPr>
        <w:pStyle w:val="Compact"/>
      </w:pPr>
      <w:r>
        <w:t xml:space="preserve">Calculation: 0.51 kg * (1 tonne / 1000 kg) * 5000 km * 0.09 kg CO2e/tkm = 0.2295 kg CO2e</w:t>
      </w:r>
    </w:p>
    <w:p>
      <w:pPr>
        <w:numPr>
          <w:ilvl w:val="0"/>
          <w:numId w:val="1009"/>
        </w:numPr>
        <w:pStyle w:val="Compact"/>
      </w:pPr>
      <w:r>
        <w:rPr>
          <w:bCs/>
          <w:b/>
        </w:rPr>
        <w:t xml:space="preserve">Main Product Transport (Factory to Distribution/Customer):</w:t>
      </w:r>
    </w:p>
    <w:p>
      <w:pPr>
        <w:numPr>
          <w:ilvl w:val="1"/>
          <w:numId w:val="1011"/>
        </w:numPr>
        <w:pStyle w:val="Compact"/>
      </w:pPr>
      <w:r>
        <w:t xml:space="preserve">Mass: 0.5 kg (product weight)</w:t>
      </w:r>
    </w:p>
    <w:p>
      <w:pPr>
        <w:numPr>
          <w:ilvl w:val="1"/>
          <w:numId w:val="1011"/>
        </w:numPr>
        <w:pStyle w:val="Compact"/>
      </w:pPr>
      <w:r>
        <w:t xml:space="preserve">Distance: 2000 km (\'pnhdqqedls\')</w:t>
      </w:r>
    </w:p>
    <w:p>
      <w:pPr>
        <w:numPr>
          <w:ilvl w:val="1"/>
          <w:numId w:val="1011"/>
        </w:numPr>
        <w:pStyle w:val="Compact"/>
      </w:pPr>
      <w:r>
        <w:t xml:space="preserve">Mode: Road Freight (HGV), EF: 0.09 kg CO2e/tkm</w:t>
      </w:r>
    </w:p>
    <w:p>
      <w:pPr>
        <w:numPr>
          <w:ilvl w:val="1"/>
          <w:numId w:val="1011"/>
        </w:numPr>
        <w:pStyle w:val="Compact"/>
      </w:pPr>
      <w:r>
        <w:t xml:space="preserve">Calculation: 0.5 kg * (1 tonne / 1000 kg) * 2000 km * 0.09 kg CO2e/tkm = 0.0900 kg CO2e</w:t>
      </w:r>
    </w:p>
    <w:p>
      <w:pPr>
        <w:numPr>
          <w:ilvl w:val="0"/>
          <w:numId w:val="1009"/>
        </w:numPr>
        <w:pStyle w:val="Compact"/>
      </w:pPr>
      <w:r>
        <w:rPr>
          <w:bCs/>
          <w:b/>
        </w:rPr>
        <w:t xml:space="preserve">Last-Mile Delivery:</w:t>
      </w:r>
    </w:p>
    <w:p>
      <w:pPr>
        <w:numPr>
          <w:ilvl w:val="1"/>
          <w:numId w:val="1012"/>
        </w:numPr>
        <w:pStyle w:val="Compact"/>
      </w:pPr>
      <w:r>
        <w:t xml:space="preserve">Mass: 0.5 kg (product weight)</w:t>
      </w:r>
    </w:p>
    <w:p>
      <w:pPr>
        <w:numPr>
          <w:ilvl w:val="1"/>
          <w:numId w:val="1012"/>
        </w:numPr>
        <w:pStyle w:val="Compact"/>
      </w:pPr>
      <w:r>
        <w:t xml:space="preserve">Distance: 50 km (illustrative)</w:t>
      </w:r>
    </w:p>
    <w:p>
      <w:pPr>
        <w:numPr>
          <w:ilvl w:val="1"/>
          <w:numId w:val="1012"/>
        </w:numPr>
        <w:pStyle w:val="Compact"/>
      </w:pPr>
      <w:r>
        <w:t xml:space="preserve">Mode: Parcel Van, EF: 0.2 kg CO2e/tkm</w:t>
      </w:r>
    </w:p>
    <w:p>
      <w:pPr>
        <w:numPr>
          <w:ilvl w:val="1"/>
          <w:numId w:val="1012"/>
        </w:numPr>
        <w:pStyle w:val="Compact"/>
      </w:pPr>
      <w:r>
        <w:t xml:space="preserve">Calculation: 0.5 kg * (1 tonne / 1000 kg) * 50 km * 0.2 kg CO2e/tkm = 0.0050 kg CO2e</w:t>
      </w:r>
    </w:p>
    <w:p>
      <w:pPr>
        <w:numPr>
          <w:ilvl w:val="0"/>
          <w:numId w:val="1009"/>
        </w:numPr>
        <w:pStyle w:val="Compact"/>
      </w:pPr>
      <w:r>
        <w:rPr>
          <w:bCs/>
          <w:b/>
        </w:rPr>
        <w:t xml:space="preserve">Total Scope 3 (Transport) Emissions: 0.2295 + 0.0900 + 0.0050 = 0.3245 kg CO2e</w:t>
      </w:r>
    </w:p>
    <w:bookmarkEnd w:id="39"/>
    <w:bookmarkStart w:id="40" w:name="category-11-use-of-sold-products"/>
    <w:p>
      <w:pPr>
        <w:pStyle w:val="Heading4"/>
      </w:pPr>
      <w:r>
        <w:t xml:space="preserve">3.3.3 Category 11: Use of Sold Products</w:t>
      </w:r>
    </w:p>
    <w:p>
      <w:pPr>
        <w:pStyle w:val="FirstParagraph"/>
      </w:pPr>
      <w:r>
        <w:t xml:space="preserve">Emissions from the energy consumed by tyuxpgvzil during its operational life.</w:t>
      </w:r>
    </w:p>
    <w:p>
      <w:pPr>
        <w:numPr>
          <w:ilvl w:val="0"/>
          <w:numId w:val="1013"/>
        </w:numPr>
        <w:pStyle w:val="Compact"/>
      </w:pPr>
      <w:r>
        <w:t xml:space="preserve">Total Energy Consumption: 2 kWh/year * 5 years = 10 kWh</w:t>
      </w:r>
    </w:p>
    <w:p>
      <w:pPr>
        <w:numPr>
          <w:ilvl w:val="0"/>
          <w:numId w:val="1013"/>
        </w:numPr>
        <w:pStyle w:val="Compact"/>
      </w:pPr>
      <w:r>
        <w:t xml:space="preserve">Emissions: 10 kWh * 0.6 kg CO2e/kWh = 6.000 kg CO2e</w:t>
      </w:r>
    </w:p>
    <w:p>
      <w:pPr>
        <w:numPr>
          <w:ilvl w:val="0"/>
          <w:numId w:val="1013"/>
        </w:numPr>
        <w:pStyle w:val="Compact"/>
      </w:pPr>
      <w:r>
        <w:rPr>
          <w:bCs/>
          <w:b/>
        </w:rPr>
        <w:t xml:space="preserve">Total Scope 3 (Use Phase) Emissions: 6.000 kg CO2e</w:t>
      </w:r>
    </w:p>
    <w:bookmarkEnd w:id="40"/>
    <w:bookmarkStart w:id="41" w:name="X9f66eef2700632e081dfe139021cb724ffcd2c5"/>
    <w:p>
      <w:pPr>
        <w:pStyle w:val="Heading4"/>
      </w:pPr>
      <w:r>
        <w:t xml:space="preserve">3.3.4 Category 12: End-of-Life Treatment of Sold Products</w:t>
      </w:r>
    </w:p>
    <w:p>
      <w:pPr>
        <w:pStyle w:val="FirstParagraph"/>
      </w:pPr>
      <w:r>
        <w:t xml:space="preserve">Emissions and avoided emissions associated with the disposal and recycling of tyuxpgvzil.</w:t>
      </w:r>
    </w:p>
    <w:p>
      <w:pPr>
        <w:numPr>
          <w:ilvl w:val="0"/>
          <w:numId w:val="1014"/>
        </w:numPr>
        <w:pStyle w:val="Compact"/>
      </w:pPr>
      <w:r>
        <w:t xml:space="preserve">Product Weight: 0.5 kg</w:t>
      </w:r>
    </w:p>
    <w:p>
      <w:pPr>
        <w:numPr>
          <w:ilvl w:val="0"/>
          <w:numId w:val="1014"/>
        </w:numPr>
        <w:pStyle w:val="Compact"/>
      </w:pPr>
      <w:r>
        <w:t xml:space="preserve">Recycled Portion: 0.5 kg * 70% = 0.35 kg</w:t>
      </w:r>
    </w:p>
    <w:p>
      <w:pPr>
        <w:numPr>
          <w:ilvl w:val="0"/>
          <w:numId w:val="1014"/>
        </w:numPr>
        <w:pStyle w:val="Compact"/>
      </w:pPr>
      <w:r>
        <w:t xml:space="preserve">Disposed Portion: 0.5 kg * (1 - 70%) = 0.15 kg</w:t>
      </w:r>
    </w:p>
    <w:p>
      <w:pPr>
        <w:numPr>
          <w:ilvl w:val="0"/>
          <w:numId w:val="1014"/>
        </w:numPr>
        <w:pStyle w:val="Compact"/>
      </w:pPr>
      <w:r>
        <w:t xml:space="preserve">Avoided Emissions (Recycling): 0.35 kg * (-1.0 kg CO2e/kg) = -0.350 kg CO2e</w:t>
      </w:r>
    </w:p>
    <w:p>
      <w:pPr>
        <w:numPr>
          <w:ilvl w:val="0"/>
          <w:numId w:val="1014"/>
        </w:numPr>
        <w:pStyle w:val="Compact"/>
      </w:pPr>
      <w:r>
        <w:t xml:space="preserve">Disposal Emissions (Landfill/Incineration): 0.15 kg * 0.5 kg CO2e/kg = 0.075 kg CO2e</w:t>
      </w:r>
    </w:p>
    <w:p>
      <w:pPr>
        <w:numPr>
          <w:ilvl w:val="0"/>
          <w:numId w:val="1014"/>
        </w:numPr>
        <w:pStyle w:val="Compact"/>
      </w:pPr>
      <w:r>
        <w:rPr>
          <w:bCs/>
          <w:b/>
        </w:rPr>
        <w:t xml:space="preserve">Total Scope 3 (End-of-Life) Emissions: -0.350 + 0.075 = -0.275 kg CO2e</w:t>
      </w:r>
    </w:p>
    <w:bookmarkEnd w:id="41"/>
    <w:bookmarkEnd w:id="42"/>
    <w:bookmarkStart w:id="43" w:name="summary-of-emissions-by-scope"/>
    <w:p>
      <w:pPr>
        <w:pStyle w:val="Heading3"/>
      </w:pPr>
      <w:r>
        <w:t xml:space="preserve">3.4 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 per functional unit)</w:t>
            </w:r>
          </w:p>
        </w:tc>
      </w:tr>
      <w:tr>
        <w:tc>
          <w:tcPr/>
          <w:p>
            <w:pPr>
              <w:pStyle w:val="Compact"/>
              <w:jc w:val="left"/>
            </w:pPr>
            <w:r>
              <w:t xml:space="preserve">Scope 1</w:t>
            </w:r>
          </w:p>
        </w:tc>
        <w:tc>
          <w:tcPr/>
          <w:p>
            <w:pPr>
              <w:pStyle w:val="Compact"/>
              <w:jc w:val="left"/>
            </w:pPr>
            <w:r>
              <w:t xml:space="preserve">Direct Emissions (negligible for product-specific manufacturing, or embedded upstream/Scope 2)</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for Production</w:t>
            </w:r>
          </w:p>
        </w:tc>
        <w:tc>
          <w:tcPr/>
          <w:p>
            <w:pPr>
              <w:pStyle w:val="Compact"/>
              <w:jc w:val="left"/>
            </w:pPr>
            <w:r>
              <w:t xml:space="preserve">1.200</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3.615</w:t>
            </w:r>
          </w:p>
        </w:tc>
      </w:tr>
      <w:tr>
        <w:tc>
          <w:tcPr>
            <w:gridSpan w:val="1"/>
            <w:vMerge w:val="continue"/>
          </w:tcPr>
          <w:p>
            <w:pPr/>
          </w:p>
        </w:tc>
        <w:tc>
          <w:tcPr/>
          <w:p>
            <w:pPr>
              <w:pStyle w:val="Compact"/>
              <w:jc w:val="left"/>
            </w:pPr>
            <w:r>
              <w:t xml:space="preserve">Category 4 &amp; 9: Transportation and Distribution</w:t>
            </w:r>
          </w:p>
        </w:tc>
        <w:tc>
          <w:tcPr/>
          <w:p>
            <w:pPr>
              <w:pStyle w:val="Compact"/>
              <w:jc w:val="left"/>
            </w:pPr>
            <w:r>
              <w:t xml:space="preserve">0.325</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6.000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-0.275</w:t>
            </w:r>
          </w:p>
        </w:tc>
      </w:tr>
      <w:tr>
        <w:tc>
          <w:tcPr>
            <w:gridSpan w:val="2"/>
          </w:tcPr>
          <w:p>
            <w:pPr>
              <w:pStyle w:val="Compact"/>
              <w:jc w:val="right"/>
            </w:pPr>
            <w:r>
              <w:rPr>
                <w:bCs/>
                <w:b/>
              </w:rPr>
              <w:t xml:space="preserve">TOTAL PRODUCT CARBON FOOTPRINT (kg CO2e):</w:t>
            </w:r>
          </w:p>
        </w:tc>
        <w:tc>
          <w:tcPr/>
          <w:p>
            <w:pPr>
              <w:pStyle w:val="Compact"/>
              <w:jc w:val="left"/>
            </w:pPr>
            <w:r>
              <w:rPr>
                <w:bCs/>
                <w:b/>
              </w:rPr>
              <w:t xml:space="preserve">10.865</w:t>
            </w:r>
          </w:p>
        </w:tc>
      </w:tr>
    </w:tbl>
    <w:p>
      <w:r>
        <w:pict>
          <v:rect style="width:0;height:1.5pt" o:hralign="center" o:hrstd="t" o:hr="t"/>
        </w:pict>
      </w:r>
    </w:p>
    <w:bookmarkEnd w:id="43"/>
    <w:bookmarkEnd w:id="44"/>
    <w:bookmarkStart w:id="47" w:name="ghg-protocol-updates-and-compliance"/>
    <w:p>
      <w:pPr>
        <w:pStyle w:val="Heading2"/>
      </w:pPr>
      <w:r>
        <w:t xml:space="preserve">4. 2026 GHG Protocol Updates and Compliance</w:t>
      </w:r>
    </w:p>
    <w:bookmarkStart w:id="45" w:name="land-sector-and-removals-lsr-standard"/>
    <w:p>
      <w:pPr>
        <w:pStyle w:val="Heading3"/>
      </w:pPr>
      <w:r>
        <w:t xml:space="preserve">4.1 Land Sector and Removals (LSR) Standard</w:t>
      </w:r>
    </w:p>
    <w:p>
      <w:pPr>
        <w:pStyle w:val="FirstParagraph"/>
      </w:pPr>
      <w:r>
        <w:t xml:space="preserve">The 2026 Land Sector and Removals (LSR) Standard is a significant update from the GHG Protocol, effective January 1, 2027. This standard provides accounting requirements and guidance for land-based emissions and CO2 removals, including those from agriculture and technological CO2 removal. While specific land-use change data for the raw materials of tyuxpgvzil were not provided, jqhkxzkylr acknowledges the importance of the LSR Standard. Future iterations of this PCF will seek to incorporate more granular data on agricultural inputs or biomass-derived materials, if applicable, to fully align with the LSR Standard\'s requirements for quantifying and reporting carbon removals and land-related emissions throughout the supply chain.</w:t>
      </w:r>
    </w:p>
    <w:bookmarkEnd w:id="45"/>
    <w:bookmarkStart w:id="46" w:name="scope-3-coverage-and-data-quality"/>
    <w:p>
      <w:pPr>
        <w:pStyle w:val="Heading3"/>
      </w:pPr>
      <w:r>
        <w:t xml:space="preserve">4.2 Scope 3 Coverage and Data Quality</w:t>
      </w:r>
    </w:p>
    <w:p>
      <w:pPr>
        <w:pStyle w:val="FirstParagraph"/>
      </w:pPr>
      <w:r>
        <w:t xml:space="preserve">The GHG Protocol\'s 2026 requirements emphasize stringent Scope 3 reporting, including a mandatory</w:t>
      </w:r>
      <w:r>
        <w:t xml:space="preserve"> </w:t>
      </w:r>
      <w:r>
        <w:rPr>
          <w:bCs/>
          <w:b/>
        </w:rPr>
        <w:t xml:space="preserve">95% completeness rule</w:t>
      </w:r>
      <w:r>
        <w:t xml:space="preserve"> </w:t>
      </w:r>
      <w:r>
        <w:t xml:space="preserve">for total relevant Scope 3 emissions to claim conformance. jqhkxzkylr is committed to achieving and maintaining this coverage. The report also highlights the mandatory data disaggregation requirement, distinguishing between primary (supplier-specific, activity-based) and secondary (industry averages, emission factors, spend-based proxies) data. This analysis utilizes a blend of primary data (from the detailed BOM\'s \'Total Carbon\' field) and secondary industry-average emission factors for transport, energy, and end-of-life, consistent with best practices for initial high-detail PCF assessments. Continuous efforts will be made to enhance primary data collection across the value chain to further improve accuracy and compliance with evolving GHG Protocol standards.</w:t>
      </w:r>
    </w:p>
    <w:p>
      <w:r>
        <w:pict>
          <v:rect style="width:0;height:1.5pt" o:hralign="center" o:hrstd="t" o:hr="t"/>
        </w:pict>
      </w:r>
    </w:p>
    <w:bookmarkEnd w:id="46"/>
    <w:bookmarkEnd w:id="47"/>
    <w:bookmarkStart w:id="53" w:name="review-report-hotspots-and-reliability"/>
    <w:p>
      <w:pPr>
        <w:pStyle w:val="Heading2"/>
      </w:pPr>
      <w:r>
        <w:t xml:space="preserve">5. Review &amp; Report: Hotspots and Reliability</w:t>
      </w:r>
    </w:p>
    <w:bookmarkStart w:id="48" w:name="emission-hotspots"/>
    <w:p>
      <w:pPr>
        <w:pStyle w:val="Heading3"/>
      </w:pPr>
      <w:r>
        <w:t xml:space="preserve">5.1 Emission Hotspots</w:t>
      </w:r>
    </w:p>
    <w:p>
      <w:pPr>
        <w:pStyle w:val="FirstParagraph"/>
      </w:pPr>
      <w:r>
        <w:t xml:space="preserve">Based on this analysis, the primary emission hotspots for tyuxpgvzil are:</w:t>
      </w:r>
    </w:p>
    <w:p>
      <w:pPr>
        <w:numPr>
          <w:ilvl w:val="0"/>
          <w:numId w:val="1015"/>
        </w:numPr>
        <w:pStyle w:val="Compact"/>
      </w:pPr>
      <w:r>
        <w:rPr>
          <w:bCs/>
          <w:b/>
        </w:rPr>
        <w:t xml:space="preserve">Use Phase (6.000 kg CO2e / 55.2% of total):</w:t>
      </w:r>
      <w:r>
        <w:t xml:space="preserve"> </w:t>
      </w:r>
      <w:r>
        <w:t xml:space="preserve">This is the most significant contributor to the product\'s PCF due to its energy consumption over its 5-year lifespan. Strategies for reduction should focus on improving energy efficiency during use.</w:t>
      </w:r>
    </w:p>
    <w:p>
      <w:pPr>
        <w:numPr>
          <w:ilvl w:val="0"/>
          <w:numId w:val="1015"/>
        </w:numPr>
        <w:pStyle w:val="Compact"/>
      </w:pPr>
      <w:r>
        <w:rPr>
          <w:bCs/>
          <w:b/>
        </w:rPr>
        <w:t xml:space="preserve">Materials Acquisition (3.615 kg CO2e / 33.3% of total):</w:t>
      </w:r>
      <w:r>
        <w:t xml:space="preserve"> </w:t>
      </w:r>
      <w:r>
        <w:t xml:space="preserve">The production of raw materials, particularly aluminum, electronics, and batteries, contributes substantially. Optimizing material choices, lightweighting, and sourcing from suppliers with lower carbon footprints are key areas for improvement.</w:t>
      </w:r>
    </w:p>
    <w:p>
      <w:pPr>
        <w:numPr>
          <w:ilvl w:val="0"/>
          <w:numId w:val="1015"/>
        </w:numPr>
        <w:pStyle w:val="Compact"/>
      </w:pPr>
      <w:r>
        <w:rPr>
          <w:bCs/>
          <w:b/>
        </w:rPr>
        <w:t xml:space="preserve">Production Energy (1.200 kg CO2e / 11.0% of total):</w:t>
      </w:r>
      <w:r>
        <w:t xml:space="preserve"> </w:t>
      </w:r>
      <w:r>
        <w:t xml:space="preserve">While significant renewable energy is used (60%), the remaining reliance on grid electricity in China (which has a relatively high carbon intensity) presents an opportunity for further decarbonization through increased renewable energy procurement or on-site generation.</w:t>
      </w:r>
    </w:p>
    <w:bookmarkEnd w:id="48"/>
    <w:bookmarkStart w:id="52" w:name="reliability-and-recommendations"/>
    <w:p>
      <w:pPr>
        <w:pStyle w:val="Heading3"/>
      </w:pPr>
      <w:r>
        <w:t xml:space="preserve">5.2 Reliability and Recommendations</w:t>
      </w:r>
    </w:p>
    <w:p>
      <w:pPr>
        <w:pStyle w:val="FirstParagraph"/>
      </w:pPr>
      <w:r>
        <w:t xml:space="preserve">The reliability of this PCF is high for the data points provided, as specific BOM data and customized parameters were directly incorporated. However, the accuracy of the overall footprint is influenced by the use of illustrative numerical assumptions for string-based parameters and generic secondary emission factors.</w:t>
      </w:r>
    </w:p>
    <w:bookmarkStart w:id="51" w:name="recommendations"/>
    <w:p>
      <w:pPr>
        <w:pStyle w:val="Heading4"/>
      </w:pPr>
      <w:r>
        <w:t xml:space="preserve">Recommendations:</w:t>
      </w:r>
    </w:p>
    <w:p>
      <w:pPr>
        <w:numPr>
          <w:ilvl w:val="0"/>
          <w:numId w:val="1016"/>
        </w:numPr>
        <w:pStyle w:val="Compact"/>
      </w:pPr>
      <w:r>
        <w:rPr>
          <w:bCs/>
          <w:b/>
        </w:rPr>
        <w:t xml:space="preserve">Enhance Primary Data:</w:t>
      </w:r>
      <w:r>
        <w:t xml:space="preserve"> </w:t>
      </w:r>
      <w:r>
        <w:t xml:space="preserve">Prioritize collecting primary, supplier-specific data for all Scope 3 categories, especially for high-impact materials and transportation lanes. This will improve accuracy and meet evolving GHG Protocol requirements for data disaggregation.</w:t>
      </w:r>
    </w:p>
    <w:p>
      <w:pPr>
        <w:numPr>
          <w:ilvl w:val="0"/>
          <w:numId w:val="1016"/>
        </w:numPr>
        <w:pStyle w:val="Compact"/>
      </w:pPr>
      <w:r>
        <w:rPr>
          <w:bCs/>
          <w:b/>
        </w:rPr>
        <w:t xml:space="preserve">Optimize Use Phase:</w:t>
      </w:r>
      <w:r>
        <w:t xml:space="preserve"> </w:t>
      </w:r>
      <w:r>
        <w:t xml:space="preserve">Invest in R&amp;D to further reduce tyuxpgvzil\'s energy consumption during its operational lifespan. Consider energy-efficient design features and educate consumers on sustainable usage patterns.</w:t>
      </w:r>
    </w:p>
    <w:p>
      <w:pPr>
        <w:numPr>
          <w:ilvl w:val="0"/>
          <w:numId w:val="1016"/>
        </w:numPr>
        <w:pStyle w:val="Compact"/>
      </w:pPr>
      <w:r>
        <w:rPr>
          <w:bCs/>
          <w:b/>
        </w:rPr>
        <w:t xml:space="preserve">Sustainable Sourcing:</w:t>
      </w:r>
      <w:r>
        <w:t xml:space="preserve"> </w:t>
      </w:r>
      <w:r>
        <w:t xml:space="preserve">Collaborate with suppliers to identify and procure lower-carbon materials and components. Explore options for materials with higher recycled content and ensure traceability.</w:t>
      </w:r>
    </w:p>
    <w:p>
      <w:pPr>
        <w:numPr>
          <w:ilvl w:val="0"/>
          <w:numId w:val="1016"/>
        </w:numPr>
        <w:pStyle w:val="Compact"/>
      </w:pPr>
      <w:r>
        <w:rPr>
          <w:bCs/>
          <w:b/>
        </w:rPr>
        <w:t xml:space="preserve">Logistics Optimization:</w:t>
      </w:r>
      <w:r>
        <w:t xml:space="preserve"> </w:t>
      </w:r>
      <w:r>
        <w:t xml:space="preserve">Investigate opportunities to optimize transport modes (e.g., shifting from road freight to rail or sea where feasible for longer distances) and routes to reduce transport emissions.</w:t>
      </w:r>
    </w:p>
    <w:p>
      <w:pPr>
        <w:numPr>
          <w:ilvl w:val="0"/>
          <w:numId w:val="1016"/>
        </w:numPr>
        <w:pStyle w:val="Compact"/>
      </w:pPr>
      <w:r>
        <w:rPr>
          <w:bCs/>
          <w:b/>
        </w:rPr>
        <w:t xml:space="preserve">Circular Economy Integration:</w:t>
      </w:r>
      <w:r>
        <w:t xml:space="preserve"> </w:t>
      </w:r>
      <w:r>
        <w:t xml:space="preserve">Continue to strengthen circular/take-back programs (\'ksijgpodfq\') to maximize product longevity, reuse, and high-quality recycling. Explore product-as-a-service models or closed-loop material cycles where appropriate.</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9" w:name="pageNumber"/>
      <w:bookmarkEnd w:id="49"/>
      <w:r>
        <w:t xml:space="preserve"> </w:t>
      </w:r>
      <w:r>
        <w:t xml:space="preserve">of</w:t>
      </w:r>
      <w:r>
        <w:t xml:space="preserve"> </w:t>
      </w:r>
      <w:bookmarkStart w:id="50" w:name="totalPages"/>
      <w:bookmarkEnd w:id="50"/>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tyuxpgvzil</dc:title>
  <dc:creator/>
  <dc:description>High-detail Product Carbon Footprint (PCF) analysis report for tyuxpgvzil by jqhkxzkylr, following GHG Protocol standards and 2026 updates, conducted by Senior Sustainability Consultant kyrgqnvunn.</dc:description>
  <dc:language>en</dc:language>
  <cp:keywords/>
  <dcterms:created xsi:type="dcterms:W3CDTF">2026-07-15T03:15:01Z</dcterms:created>
  <dcterms:modified xsi:type="dcterms:W3CDTF">2026-07-15T03:15:01Z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