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txfzjmwrlw</w:t>
      </w:r>
      <w:r>
        <w:t xml:space="preserve"> </w:t>
      </w:r>
      <w:r>
        <w:t xml:space="preserve">(Smart</w:t>
      </w:r>
      <w:r>
        <w:t xml:space="preserve"> </w:t>
      </w:r>
      <w:r>
        <w:t xml:space="preserve">Sensor</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txfzjmwrlw</w:t>
      </w:r>
      <w:r>
        <w:t xml:space="preserve"> </w:t>
      </w:r>
      <w:r>
        <w:t xml:space="preserve">(Smart Sensor Device)</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ezptjyfhxu</w:t>
      </w:r>
    </w:p>
    <w:p>
      <w:pPr>
        <w:pStyle w:val="BodyText"/>
      </w:pPr>
      <w:r>
        <w:rPr>
          <w:bCs/>
          <w:b/>
        </w:rPr>
        <w:t xml:space="preserve">Senior Sustainability Consultant:</w:t>
      </w:r>
      <w:r>
        <w:t xml:space="preserve"> </w:t>
      </w:r>
      <w:r>
        <w:t xml:space="preserve">phkwopsvhl</w:t>
      </w:r>
    </w:p>
    <w:p>
      <w:pPr>
        <w:pStyle w:val="BodyText"/>
      </w:pPr>
      <w:r>
        <w:t xml:space="preserve">Disclaimer: This report is generated based on available data, industry standards, and illustrative assumptions for placeholder parameters. The accuracy of the results is dependent on the precision and completeness of the input data.</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txfzjmwrlw (Smart Sensor Device)</w:t>
      </w:r>
    </w:p>
    <w:p>
      <w:pPr>
        <w:pStyle w:val="BodyText"/>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txfzjmwrlw, a Smart Sensor Device manufactured by ezptjyfhxu. The analysis was conducted by phkwopsvhl, Senior Sustainability Consultant, adhering to the Greenhouse Gas (GHG) Protocol standards, including considerations for the upcoming 2026 Land Sector and Removals (LSR) Standard update and stringent Scope 3 compliance requirements. The total Product Carbon Footprint for one functional unit of txfzjmwrlw is estimated at</w:t>
      </w:r>
      <w:r>
        <w:t xml:space="preserve"> </w:t>
      </w:r>
      <w:r>
        <w:rPr>
          <w:bCs/>
          <w:b/>
        </w:rPr>
        <w:t xml:space="preserve">26.94 kg CO2e</w:t>
      </w:r>
      <w:r>
        <w:t xml:space="preserve">. The primary hotspots identified are the Use Phase (46.4%) and Raw Materials (27.3%), followed by Manufacturing Energy (23.4%). This analysis provides ezptjyfhxu with actionable insights to identify emission reduction opportunities across its value chain.</w:t>
      </w:r>
    </w:p>
    <w:p>
      <w:r>
        <w:pict>
          <v:rect style="width:0;height:1.5pt" o:hralign="center" o:hrstd="t" o:hr="t"/>
        </w:pict>
      </w:r>
    </w:p>
    <w:bookmarkEnd w:id="22"/>
    <w:bookmarkStart w:id="26" w:name="introduction-and-methodology"/>
    <w:p>
      <w:pPr>
        <w:pStyle w:val="Heading2"/>
      </w:pPr>
      <w:r>
        <w:t xml:space="preserve">1. Introduction and Methodology</w:t>
      </w:r>
    </w:p>
    <w:p>
      <w:pPr>
        <w:pStyle w:val="FirstParagraph"/>
      </w:pPr>
      <w:r>
        <w:t xml:space="preserve">This Product Carbon Footprint (PCF) analysis quantifies the greenhouse gas (GHG) emissions associated with the entire lifecycle of one functional unit of txfzjmwrlw, a Smart Sensor Device. The assessment follows the internationally recognized GHG Protocol methodology.</w:t>
      </w:r>
    </w:p>
    <w:bookmarkStart w:id="23" w:name="accounting-standard"/>
    <w:p>
      <w:pPr>
        <w:pStyle w:val="Heading3"/>
      </w:pPr>
      <w:r>
        <w:t xml:space="preserve">1.1. Accounting Standard</w:t>
      </w:r>
    </w:p>
    <w:p>
      <w:pPr>
        <w:pStyle w:val="FirstParagraph"/>
      </w:pPr>
      <w:r>
        <w:t xml:space="preserve">The analysis strictly adheres to the</w:t>
      </w:r>
      <w:r>
        <w:t xml:space="preserve"> </w:t>
      </w:r>
      <w:r>
        <w:rPr>
          <w:bCs/>
          <w:b/>
        </w:rPr>
        <w:t xml:space="preserve">GHG Protocol</w:t>
      </w:r>
      <w:r>
        <w:t xml:space="preserve"> </w:t>
      </w:r>
      <w:r>
        <w:t xml:space="preserve">Corporate Value Chain (Scope 3) Accounting and Reporting Standard. Emissions are categorized into Scope 1 (direct), Scope 2 (purchased energy), and Scope 3 (value chain) to ensure comprehensive coverage and transparency.</w:t>
      </w:r>
    </w:p>
    <w:bookmarkEnd w:id="23"/>
    <w:bookmarkStart w:id="24" w:name="methodology-steps"/>
    <w:p>
      <w:pPr>
        <w:pStyle w:val="Heading3"/>
      </w:pPr>
      <w:r>
        <w:t xml:space="preserve">1.2. Methodology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activities (Life Cycle Inventory - LCI).</w:t>
      </w:r>
    </w:p>
    <w:p>
      <w:pPr>
        <w:numPr>
          <w:ilvl w:val="0"/>
          <w:numId w:val="1001"/>
        </w:numPr>
        <w:pStyle w:val="Compact"/>
      </w:pPr>
      <w:r>
        <w:rPr>
          <w:bCs/>
          <w:b/>
        </w:rPr>
        <w:t xml:space="preserve">Collect Data:</w:t>
      </w:r>
      <w:r>
        <w:t xml:space="preserve"> </w:t>
      </w:r>
      <w:r>
        <w:t xml:space="preserve">Gather primary and secondary data points for each activity.</w:t>
      </w:r>
    </w:p>
    <w:p>
      <w:pPr>
        <w:numPr>
          <w:ilvl w:val="0"/>
          <w:numId w:val="1001"/>
        </w:numPr>
        <w:pStyle w:val="Compact"/>
      </w:pPr>
      <w:r>
        <w:rPr>
          <w:bCs/>
          <w:b/>
        </w:rPr>
        <w:t xml:space="preserve">Calculate Emissions:</w:t>
      </w:r>
      <w:r>
        <w:t xml:space="preserve"> </w:t>
      </w:r>
      <w:r>
        <w:t xml:space="preserve">Determine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provide recommendations.</w:t>
      </w:r>
    </w:p>
    <w:bookmarkEnd w:id="24"/>
    <w:bookmarkStart w:id="25" w:name="ghg-protocol-updates"/>
    <w:p>
      <w:pPr>
        <w:pStyle w:val="Heading3"/>
      </w:pPr>
      <w:r>
        <w:t xml:space="preserve">1.3. 2026 GHG Protocol Updates</w:t>
      </w:r>
    </w:p>
    <w:p>
      <w:pPr>
        <w:numPr>
          <w:ilvl w:val="0"/>
          <w:numId w:val="1002"/>
        </w:numPr>
        <w:pStyle w:val="Compact"/>
      </w:pPr>
      <w:r>
        <w:rPr>
          <w:bCs/>
          <w:b/>
        </w:rPr>
        <w:t xml:space="preserve">Land Sector and Removals (LSR) Standard:</w:t>
      </w:r>
      <w:r>
        <w:t xml:space="preserve"> </w:t>
      </w:r>
      <w:r>
        <w:t xml:space="preserve">The 2026 LSR Standard for land use and carbon removals has been considered. While direct land-use change impacts were not explicitly quantified in this report due to the product\'s nature and data limitations, the standard\'s principles for integrating land-related emissions and removals are acknowledged. The LSR Standard is effective January 1, 2027, and provides guidance for entities with significant land sector activities or those reporting CO2 removals.</w:t>
      </w:r>
    </w:p>
    <w:p>
      <w:pPr>
        <w:numPr>
          <w:ilvl w:val="0"/>
          <w:numId w:val="1002"/>
        </w:numPr>
        <w:pStyle w:val="Compact"/>
      </w:pPr>
      <w:r>
        <w:rPr>
          <w:bCs/>
          <w:b/>
        </w:rPr>
        <w:t xml:space="preserve">Scope 3 Compliance:</w:t>
      </w:r>
      <w:r>
        <w:t xml:space="preserve"> </w:t>
      </w:r>
      <w:r>
        <w:t xml:space="preserve">This analysis aims for at least 95% coverage for Scope 3 reporting, aligning with the stringent 2026 requirements. This ensures the inclusion of all major Scope 3 emission sources and reduces the risk of underreporting.</w:t>
      </w:r>
    </w:p>
    <w:p>
      <w:r>
        <w:pict>
          <v:rect style="width:0;height:1.5pt" o:hralign="center" o:hrstd="t" o:hr="t"/>
        </w:pict>
      </w:r>
    </w:p>
    <w:bookmarkEnd w:id="25"/>
    <w:bookmarkEnd w:id="26"/>
    <w:bookmarkStart w:id="31" w:name="scope-definition"/>
    <w:p>
      <w:pPr>
        <w:pStyle w:val="Heading2"/>
      </w:pPr>
      <w:r>
        <w:t xml:space="preserve">2. Scope Definition</w:t>
      </w:r>
    </w:p>
    <w:bookmarkStart w:id="27" w:name="functional-unit"/>
    <w:p>
      <w:pPr>
        <w:pStyle w:val="Heading3"/>
      </w:pPr>
      <w:r>
        <w:t xml:space="preserve">2.1. Functional Unit</w:t>
      </w:r>
    </w:p>
    <w:p>
      <w:pPr>
        <w:pStyle w:val="FirstParagraph"/>
      </w:pPr>
      <w:r>
        <w:t xml:space="preserve">The functional unit for this PCF analysis is</w:t>
      </w:r>
      <w:r>
        <w:t xml:space="preserve"> </w:t>
      </w:r>
      <w:r>
        <w:rPr>
          <w:bCs/>
          <w:b/>
        </w:rPr>
        <w:t xml:space="preserve">1.0 unit of txfzjmwrlw</w:t>
      </w:r>
      <w:r>
        <w:t xml:space="preserve"> </w:t>
      </w:r>
      <w:r>
        <w:t xml:space="preserve">(Smart Sensor Device).</w:t>
      </w:r>
    </w:p>
    <w:bookmarkEnd w:id="27"/>
    <w:bookmarkStart w:id="28" w:name="system-boundary"/>
    <w:p>
      <w:pPr>
        <w:pStyle w:val="Heading3"/>
      </w:pPr>
      <w:r>
        <w:t xml:space="preserve">2.2. System Boundary</w:t>
      </w:r>
    </w:p>
    <w:p>
      <w:pPr>
        <w:pStyle w:val="FirstParagraph"/>
      </w:pPr>
      <w:r>
        <w:t xml:space="preserve">The system boundary for this analysis is "</w:t>
      </w:r>
      <w:r>
        <w:rPr>
          <w:bCs/>
          <w:b/>
        </w:rPr>
        <w:t xml:space="preserve">Cradle-to-Gate</w:t>
      </w:r>
      <w:r>
        <w:t xml:space="preserve">" (factory_gate). This includes all stages from raw material extraction, processing, and manufacturing, including inbound transportation of components and materials, up to the point where the finished product leaves the ezptjyfhxu factory gate. For a comprehensive value chain understanding, "downstream" Scope 3 categories such as Use Phase and End-of-Life are also included in the overall PCF calculation as per client request for a high-detail analysis.</w:t>
      </w:r>
    </w:p>
    <w:bookmarkEnd w:id="28"/>
    <w:bookmarkStart w:id="29"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and/or outbound distribution to Europe)</w:t>
      </w:r>
    </w:p>
    <w:bookmarkEnd w:id="29"/>
    <w:bookmarkStart w:id="30" w:name="allocation"/>
    <w:p>
      <w:pPr>
        <w:pStyle w:val="Heading3"/>
      </w:pPr>
      <w:r>
        <w:t xml:space="preserve">2.4. Allocation</w:t>
      </w:r>
    </w:p>
    <w:p>
      <w:pPr>
        <w:pStyle w:val="FirstParagraph"/>
      </w:pPr>
      <w:r>
        <w:t xml:space="preserve">Where shared processes occur, environmental impacts are allocated to the functional unit based on mass, economic value, or other relevant physical relationships, as appropriate.</w:t>
      </w:r>
    </w:p>
    <w:p>
      <w:r>
        <w:pict>
          <v:rect style="width:0;height:1.5pt" o:hralign="center" o:hrstd="t" o:hr="t"/>
        </w:pict>
      </w:r>
    </w:p>
    <w:bookmarkEnd w:id="30"/>
    <w:bookmarkEnd w:id="31"/>
    <w:bookmarkStart w:id="38" w:name="X1b7031aaf9d3ec7631c8b88e4e268c4190343e5"/>
    <w:p>
      <w:pPr>
        <w:pStyle w:val="Heading2"/>
      </w:pPr>
      <w:r>
        <w:t xml:space="preserve">3. Lifecycle Mapping &amp; Data Collection (Steps 2 &amp; 3)</w:t>
      </w:r>
    </w:p>
    <w:p>
      <w:pPr>
        <w:pStyle w:val="FirstParagraph"/>
      </w:pPr>
      <w:r>
        <w:t xml:space="preserve">This section details the primary inputs and activities across the lifecycle of the txfzjmwrlw (Smart Sensor Device). For placeholder parameters provided in the prompt (e.g., \'ekdqqmvy\', \'Select Mode\', \'yvjhtnipgg\', \'Delivery Type\', \'vudzfnernt\', \'tdopoohwnt\', \'qydjmxyjwf\', \'ldkzqfxgfh\', \'kheuqppuip\', \'odrudqsfrl\'), illustrative data has been used to demonstrate the methodology and calculations.</w:t>
      </w:r>
    </w:p>
    <w:bookmarkStart w:id="32" w:name="X8356cba321139867ec5b20dfcad67e7c8f03a9c"/>
    <w:p>
      <w:pPr>
        <w:pStyle w:val="Heading3"/>
      </w:pPr>
      <w:r>
        <w:t xml:space="preserve">3.1. Raw Materials Acquisition &amp; Pre-processing (Scope 3 - Upstream)</w:t>
      </w:r>
    </w:p>
    <w:p>
      <w:pPr>
        <w:pStyle w:val="FirstParagraph"/>
      </w:pPr>
      <w:r>
        <w:t xml:space="preserve">The detailed Bill of Materials (BOM) provides specific data for each component. For this analysis, the placeholder \'ekdqqmvy\' is represented by the illustrative data below, ensuring the "Total Carbon (kgCO2e)" values are directly incorporated as specified.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4</w:t>
            </w:r>
          </w:p>
        </w:tc>
        <w:tc>
          <w:tcPr/>
          <w:p>
            <w:pPr>
              <w:pStyle w:val="Compact"/>
              <w:jc w:val="left"/>
            </w:pPr>
            <w:r>
              <w:t xml:space="preserve">Li-ion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Total Mass of Raw Materials (Illustrative):</w:t>
      </w:r>
      <w:r>
        <w:t xml:space="preserve"> </w:t>
      </w:r>
      <w:r>
        <w:t xml:space="preserve">1.86 kg</w:t>
      </w:r>
    </w:p>
    <w:p>
      <w:pPr>
        <w:pStyle w:val="BodyText"/>
      </w:pPr>
      <w:r>
        <w:rPr>
          <w:bCs/>
          <w:b/>
        </w:rPr>
        <w:t xml:space="preserve">Total Carbon from Raw Materials (Illustrative, sum of \'Total Carbon\' column):</w:t>
      </w:r>
      <w:r>
        <w:t xml:space="preserve"> </w:t>
      </w:r>
      <w:r>
        <w:t xml:space="preserve">7.37 kg CO2e</w:t>
      </w:r>
    </w:p>
    <w:bookmarkEnd w:id="32"/>
    <w:bookmarkStart w:id="33" w:name="manufacturing-factory-gate"/>
    <w:p>
      <w:pPr>
        <w:pStyle w:val="Heading3"/>
      </w:pPr>
      <w:r>
        <w:t xml:space="preserve">3.2. Manufacturing (Factory Gate)</w:t>
      </w:r>
    </w:p>
    <w:p>
      <w:pPr>
        <w:numPr>
          <w:ilvl w:val="0"/>
          <w:numId w:val="1004"/>
        </w:numPr>
        <w:pStyle w:val="Compact"/>
      </w:pPr>
      <w:r>
        <w:rPr>
          <w:bCs/>
          <w:b/>
        </w:rPr>
        <w:t xml:space="preserve">Energy Intensity (kWh/unit):</w:t>
      </w:r>
      <w:r>
        <w:t xml:space="preserve"> </w:t>
      </w:r>
      <w:r>
        <w:t xml:space="preserve">tdopoohwnt (Illustrative: 15 kWh/unit)</w:t>
      </w:r>
    </w:p>
    <w:p>
      <w:pPr>
        <w:numPr>
          <w:ilvl w:val="0"/>
          <w:numId w:val="1004"/>
        </w:numPr>
        <w:pStyle w:val="Compact"/>
      </w:pPr>
      <w:r>
        <w:rPr>
          <w:bCs/>
          <w:b/>
        </w:rPr>
        <w:t xml:space="preserve">Renewable Energy Usage:</w:t>
      </w:r>
      <w:r>
        <w:t xml:space="preserve"> </w:t>
      </w:r>
      <w:r>
        <w:t xml:space="preserve">vudzfnernt (Illustrative: 30%)</w:t>
      </w:r>
    </w:p>
    <w:p>
      <w:pPr>
        <w:numPr>
          <w:ilvl w:val="0"/>
          <w:numId w:val="1004"/>
        </w:numPr>
        <w:pStyle w:val="Compact"/>
      </w:pPr>
      <w:r>
        <w:rPr>
          <w:bCs/>
          <w:b/>
        </w:rPr>
        <w:t xml:space="preserve">Non-renewable Electricity for Manufacturing:</w:t>
      </w:r>
      <w:r>
        <w:t xml:space="preserve"> </w:t>
      </w:r>
      <w:r>
        <w:t xml:space="preserve">15 kWh/unit * (1 - 0.30) = 10.5 kWh/unit</w:t>
      </w:r>
    </w:p>
    <w:p>
      <w:pPr>
        <w:numPr>
          <w:ilvl w:val="0"/>
          <w:numId w:val="1004"/>
        </w:numPr>
        <w:pStyle w:val="Compact"/>
      </w:pPr>
      <w:r>
        <w:rPr>
          <w:bCs/>
          <w:b/>
        </w:rPr>
        <w:t xml:space="preserve">Electricity Emission Factor (China Grid Average):</w:t>
      </w:r>
      <w:r>
        <w:t xml:space="preserve"> </w:t>
      </w:r>
      <w:r>
        <w:t xml:space="preserve">0.6 kg CO2e/kWh</w:t>
      </w:r>
    </w:p>
    <w:bookmarkEnd w:id="33"/>
    <w:bookmarkStart w:id="35" w:name="transport-distribution-scope-3"/>
    <w:p>
      <w:pPr>
        <w:pStyle w:val="Heading3"/>
      </w:pPr>
      <w:r>
        <w:t xml:space="preserve">3.3. Transport &amp; Distribution (Scope 3)</w:t>
      </w:r>
    </w:p>
    <w:p>
      <w:pPr>
        <w:pStyle w:val="FirstParagraph"/>
      </w:pPr>
      <w:r>
        <w:t xml:space="preserve">The logistics data provided is as follows:</w:t>
      </w:r>
    </w:p>
    <w:p>
      <w:pPr>
        <w:numPr>
          <w:ilvl w:val="0"/>
          <w:numId w:val="1005"/>
        </w:numPr>
        <w:pStyle w:val="Compact"/>
      </w:pPr>
      <w:r>
        <w:rPr>
          <w:bCs/>
          <w:b/>
        </w:rPr>
        <w:t xml:space="preserve">Transport Mode:</w:t>
      </w:r>
      <w:r>
        <w:t xml:space="preserve"> </w:t>
      </w:r>
      <w:r>
        <w:t xml:space="preserve">Select Mode (Illustrative: Ocean Freight + Road Freight)</w:t>
      </w:r>
    </w:p>
    <w:p>
      <w:pPr>
        <w:numPr>
          <w:ilvl w:val="0"/>
          <w:numId w:val="1005"/>
        </w:numPr>
        <w:pStyle w:val="Compact"/>
      </w:pPr>
      <w:r>
        <w:rPr>
          <w:bCs/>
          <w:b/>
        </w:rPr>
        <w:t xml:space="preserve">Transport Distance:</w:t>
      </w:r>
      <w:r>
        <w:t xml:space="preserve"> </w:t>
      </w:r>
      <w:r>
        <w:t xml:space="preserve">yvjhtnipgg (Illustrative: Inbound Ocean: 8,000 km; Inbound Road: 500 km; Outbound Ocean: 12,000 km; Outbound Road: 800 km; Last-Mile: 50 km)</w:t>
      </w:r>
    </w:p>
    <w:p>
      <w:pPr>
        <w:numPr>
          <w:ilvl w:val="0"/>
          <w:numId w:val="1005"/>
        </w:numPr>
        <w:pStyle w:val="Compact"/>
      </w:pPr>
      <w:r>
        <w:rPr>
          <w:bCs/>
          <w:b/>
        </w:rPr>
        <w:t xml:space="preserve">Last-Mile Delivery Channel:</w:t>
      </w:r>
      <w:r>
        <w:t xml:space="preserve"> </w:t>
      </w:r>
      <w:r>
        <w:t xml:space="preserve">Delivery Type (Illustrative: Small Parcel Courier (Van))</w:t>
      </w:r>
    </w:p>
    <w:p>
      <w:pPr>
        <w:pStyle w:val="FirstParagraph"/>
      </w:pPr>
      <w:r>
        <w:t xml:space="preserve">Assumed Product Weight for Transport (including packaging): 1.0 kg</w:t>
      </w:r>
    </w:p>
    <w:p>
      <w:pPr>
        <w:pStyle w:val="BodyText"/>
      </w:pPr>
      <w:r>
        <w:t xml:space="preserve">Assumed Raw Material Weight for Inbound Transport: 1.86 kg (sum of illustrative BOM masses)</w:t>
      </w:r>
    </w:p>
    <w:bookmarkStart w:id="34" w:name="emission-factors-for-transport"/>
    <w:p>
      <w:pPr>
        <w:pStyle w:val="Heading4"/>
      </w:pPr>
      <w:r>
        <w:t xml:space="preserve">Emission Factors for Transport:</w:t>
      </w:r>
    </w:p>
    <w:p>
      <w:pPr>
        <w:numPr>
          <w:ilvl w:val="0"/>
          <w:numId w:val="1006"/>
        </w:numPr>
        <w:pStyle w:val="Compact"/>
      </w:pPr>
      <w:r>
        <w:rPr>
          <w:bCs/>
          <w:b/>
        </w:rPr>
        <w:t xml:space="preserve">Ocean Freight (Container Ship):</w:t>
      </w:r>
      <w:r>
        <w:t xml:space="preserve"> </w:t>
      </w:r>
      <w:r>
        <w:t xml:space="preserve">0.015 kg CO2e/tkm</w:t>
      </w:r>
    </w:p>
    <w:p>
      <w:pPr>
        <w:numPr>
          <w:ilvl w:val="0"/>
          <w:numId w:val="1006"/>
        </w:numPr>
        <w:pStyle w:val="Compact"/>
      </w:pPr>
      <w:r>
        <w:rPr>
          <w:bCs/>
          <w:b/>
        </w:rPr>
        <w:t xml:space="preserve">Road Freight (Heavy Goods Vehicle):</w:t>
      </w:r>
      <w:r>
        <w:t xml:space="preserve"> </w:t>
      </w:r>
      <w:r>
        <w:t xml:space="preserve">0.09 kg CO2e/tkm</w:t>
      </w:r>
    </w:p>
    <w:p>
      <w:pPr>
        <w:numPr>
          <w:ilvl w:val="0"/>
          <w:numId w:val="1006"/>
        </w:numPr>
        <w:pStyle w:val="Compact"/>
      </w:pPr>
      <w:r>
        <w:rPr>
          <w:bCs/>
          <w:b/>
        </w:rPr>
        <w:t xml:space="preserve">Last-Mile Delivery (Small Parcel):</w:t>
      </w:r>
      <w:r>
        <w:t xml:space="preserve"> </w:t>
      </w:r>
      <w:r>
        <w:t xml:space="preserve">0.25 kg CO2e/package (illustrative average for typical last-mile delivery of a small product)</w:t>
      </w:r>
    </w:p>
    <w:bookmarkEnd w:id="34"/>
    <w:bookmarkEnd w:id="35"/>
    <w:bookmarkStart w:id="36" w:name="use-phase-scope-3---downstream"/>
    <w:p>
      <w:pPr>
        <w:pStyle w:val="Heading3"/>
      </w:pPr>
      <w:r>
        <w:t xml:space="preserve">3.4. Use Phase (Scope 3 - Downstream)</w:t>
      </w:r>
    </w:p>
    <w:p>
      <w:pPr>
        <w:numPr>
          <w:ilvl w:val="0"/>
          <w:numId w:val="1007"/>
        </w:numPr>
        <w:pStyle w:val="Compact"/>
      </w:pPr>
      <w:r>
        <w:rPr>
          <w:bCs/>
          <w:b/>
        </w:rPr>
        <w:t xml:space="preserve">Product Lifespan:</w:t>
      </w:r>
      <w:r>
        <w:t xml:space="preserve"> </w:t>
      </w:r>
      <w:r>
        <w:t xml:space="preserve">qydjmxyjwf (Illustrative: 5 years)</w:t>
      </w:r>
    </w:p>
    <w:p>
      <w:pPr>
        <w:numPr>
          <w:ilvl w:val="0"/>
          <w:numId w:val="1007"/>
        </w:numPr>
        <w:pStyle w:val="Compact"/>
      </w:pPr>
      <w:r>
        <w:rPr>
          <w:bCs/>
          <w:b/>
        </w:rPr>
        <w:t xml:space="preserve">Energy Consumption in Use:</w:t>
      </w:r>
      <w:r>
        <w:t xml:space="preserve"> </w:t>
      </w:r>
      <w:r>
        <w:t xml:space="preserve">ldkzqfxgfh (Illustrative: 10 kWh/year)</w:t>
      </w:r>
    </w:p>
    <w:p>
      <w:pPr>
        <w:numPr>
          <w:ilvl w:val="0"/>
          <w:numId w:val="1007"/>
        </w:numPr>
        <w:pStyle w:val="Compact"/>
      </w:pPr>
      <w:r>
        <w:rPr>
          <w:bCs/>
          <w:b/>
        </w:rPr>
        <w:t xml:space="preserve">Total Energy Consumption over Lifespan:</w:t>
      </w:r>
      <w:r>
        <w:t xml:space="preserve"> </w:t>
      </w:r>
      <w:r>
        <w:t xml:space="preserve">50 kWh</w:t>
      </w:r>
    </w:p>
    <w:p>
      <w:pPr>
        <w:numPr>
          <w:ilvl w:val="0"/>
          <w:numId w:val="1007"/>
        </w:numPr>
        <w:pStyle w:val="Compact"/>
      </w:pPr>
      <w:r>
        <w:rPr>
          <w:bCs/>
          <w:b/>
        </w:rPr>
        <w:t xml:space="preserve">Electricity Emission Factor (EU Grid Average for consumer use):</w:t>
      </w:r>
      <w:r>
        <w:t xml:space="preserve"> </w:t>
      </w:r>
      <w:r>
        <w:t xml:space="preserve">0.25 kg CO2e/kWh</w:t>
      </w:r>
    </w:p>
    <w:bookmarkEnd w:id="36"/>
    <w:bookmarkStart w:id="37" w:name="end-of-life-eol-scope-3---downstream"/>
    <w:p>
      <w:pPr>
        <w:pStyle w:val="Heading3"/>
      </w:pPr>
      <w:r>
        <w:t xml:space="preserve">3.5. End-of-Life (EoL) (Scope 3 - Downstream)</w:t>
      </w:r>
    </w:p>
    <w:p>
      <w:pPr>
        <w:numPr>
          <w:ilvl w:val="0"/>
          <w:numId w:val="1008"/>
        </w:numPr>
        <w:pStyle w:val="Compact"/>
      </w:pPr>
      <w:r>
        <w:rPr>
          <w:bCs/>
          <w:b/>
        </w:rPr>
        <w:t xml:space="preserve">Recyclability Percentage:</w:t>
      </w:r>
      <w:r>
        <w:t xml:space="preserve"> </w:t>
      </w:r>
      <w:r>
        <w:t xml:space="preserve">kheuqppuip (Illustrative: 70%)</w:t>
      </w:r>
    </w:p>
    <w:p>
      <w:pPr>
        <w:numPr>
          <w:ilvl w:val="0"/>
          <w:numId w:val="1008"/>
        </w:numPr>
        <w:pStyle w:val="Compact"/>
      </w:pPr>
      <w:r>
        <w:rPr>
          <w:bCs/>
          <w:b/>
        </w:rPr>
        <w:t xml:space="preserve">Circular/Take-back Programs:</w:t>
      </w:r>
      <w:r>
        <w:t xml:space="preserve"> </w:t>
      </w:r>
      <w:r>
        <w:t xml:space="preserve">odrudqsfrl (Illustrative: Established take-back program for key components)</w:t>
      </w:r>
    </w:p>
    <w:p>
      <w:pPr>
        <w:pStyle w:val="FirstParagraph"/>
      </w:pPr>
      <w:r>
        <w:rPr>
          <w:bCs/>
          <w:b/>
        </w:rPr>
        <w:t xml:space="preserve">Mass for EoL:</w:t>
      </w:r>
      <w:r>
        <w:t xml:space="preserve"> </w:t>
      </w:r>
      <w:r>
        <w:t xml:space="preserve">1.86 kg (total material mass from BOM).</w:t>
      </w:r>
    </w:p>
    <w:p>
      <w:pPr>
        <w:pStyle w:val="BodyText"/>
      </w:pPr>
      <w:r>
        <w:rPr>
          <w:bCs/>
          <w:b/>
        </w:rPr>
        <w:t xml:space="preserve">Disposed Mass:</w:t>
      </w:r>
      <w:r>
        <w:t xml:space="preserve"> </w:t>
      </w:r>
      <w:r>
        <w:t xml:space="preserve">1.86 kg * (1 - 0.70) = 0.558 kg.</w:t>
      </w:r>
    </w:p>
    <w:p>
      <w:pPr>
        <w:pStyle w:val="BodyText"/>
      </w:pPr>
      <w:r>
        <w:rPr>
          <w:bCs/>
          <w:b/>
        </w:rPr>
        <w:t xml:space="preserve">Average Disposal Emission Factor (e.g., landfill/incineration without energy recovery credit):</w:t>
      </w:r>
      <w:r>
        <w:t xml:space="preserve"> </w:t>
      </w:r>
      <w:r>
        <w:t xml:space="preserve">0.5 kg CO2e/kg (illustrative average for mixed residual waste).</w:t>
      </w:r>
    </w:p>
    <w:p>
      <w:r>
        <w:pict>
          <v:rect style="width:0;height:1.5pt" o:hralign="center" o:hrstd="t" o:hr="t"/>
        </w:pict>
      </w:r>
    </w:p>
    <w:bookmarkEnd w:id="37"/>
    <w:bookmarkEnd w:id="38"/>
    <w:bookmarkStart w:id="41" w:name="emission-calculation-step-4"/>
    <w:p>
      <w:pPr>
        <w:pStyle w:val="Heading2"/>
      </w:pPr>
      <w:r>
        <w:t xml:space="preserve">4. Emission Calculation (Step 4)</w:t>
      </w:r>
    </w:p>
    <w:p>
      <w:pPr>
        <w:pStyle w:val="FirstParagraph"/>
      </w:pPr>
      <w:r>
        <w:t xml:space="preserve">Emissions are calculated for each life cycle stage and categorized according to the GHG Protocol\'s Scope 1, Scope 2, and Scope 3 definitions. Where specific emission factors were not provided in the prompt, industry-standard factors (e.g., from Ecoinvent, DEFRA) have been used.</w:t>
      </w:r>
    </w:p>
    <w:bookmarkStart w:id="39" w:name="breakdown-by-life-cycle-stage"/>
    <w:p>
      <w:pPr>
        <w:pStyle w:val="Heading3"/>
      </w:pPr>
      <w:r>
        <w:t xml:space="preserve">4.1. Breakdown by Life 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Description / Calculation</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rPr>
                <w:bCs/>
                <w:b/>
              </w:rPr>
              <w:t xml:space="preserve">Raw Materials</w:t>
            </w:r>
          </w:p>
        </w:tc>
        <w:tc>
          <w:tcPr/>
          <w:p>
            <w:pPr>
              <w:pStyle w:val="Compact"/>
              <w:jc w:val="left"/>
            </w:pPr>
            <w:r>
              <w:t xml:space="preserve">Sum of \'Total Carbon\' from illustrative BOM data.</w:t>
            </w:r>
          </w:p>
        </w:tc>
        <w:tc>
          <w:tcPr/>
          <w:p>
            <w:pPr>
              <w:pStyle w:val="Compact"/>
              <w:jc w:val="left"/>
            </w:pPr>
            <w:r>
              <w:t xml:space="preserve">7.37</w:t>
            </w:r>
          </w:p>
        </w:tc>
        <w:tc>
          <w:tcPr/>
          <w:p>
            <w:pPr>
              <w:pStyle w:val="Compact"/>
              <w:jc w:val="left"/>
            </w:pPr>
            <w:r>
              <w:t xml:space="preserve">Scope 3 (Upstream)</w:t>
            </w:r>
          </w:p>
        </w:tc>
      </w:tr>
      <w:tr>
        <w:tc>
          <w:tcPr/>
          <w:p>
            <w:pPr>
              <w:pStyle w:val="Compact"/>
              <w:jc w:val="left"/>
            </w:pPr>
            <w:r>
              <w:rPr>
                <w:bCs/>
                <w:b/>
              </w:rPr>
              <w:t xml:space="preserve">Manufacturing Energy</w:t>
            </w:r>
          </w:p>
        </w:tc>
        <w:tc>
          <w:tcPr/>
          <w:p>
            <w:pPr>
              <w:pStyle w:val="Compact"/>
              <w:jc w:val="left"/>
            </w:pPr>
            <w:r>
              <w:t xml:space="preserve">(15 kWh/unit * (1 - 0.30)) * 0.6 kg CO2e/kWh (China Grid)</w:t>
            </w:r>
          </w:p>
        </w:tc>
        <w:tc>
          <w:tcPr/>
          <w:p>
            <w:pPr>
              <w:pStyle w:val="Compact"/>
              <w:jc w:val="left"/>
            </w:pPr>
            <w:r>
              <w:t xml:space="preserve">6.30</w:t>
            </w:r>
          </w:p>
        </w:tc>
        <w:tc>
          <w:tcPr/>
          <w:p>
            <w:pPr>
              <w:pStyle w:val="Compact"/>
              <w:jc w:val="left"/>
            </w:pPr>
            <w:r>
              <w:t xml:space="preserve">Scope 2</w:t>
            </w:r>
          </w:p>
        </w:tc>
      </w:tr>
      <w:tr>
        <w:tc>
          <w:tcPr/>
          <w:p>
            <w:pPr>
              <w:pStyle w:val="Compact"/>
              <w:jc w:val="left"/>
            </w:pPr>
            <w:r>
              <w:rPr>
                <w:bCs/>
                <w:b/>
              </w:rPr>
              <w:t xml:space="preserve">Inbound Transport (Materials)</w:t>
            </w:r>
          </w:p>
        </w:tc>
        <w:tc>
          <w:tcPr/>
          <w:p>
            <w:pPr>
              <w:pStyle w:val="Compact"/>
              <w:jc w:val="left"/>
            </w:pPr>
            <w:r>
              <w:t xml:space="preserve">(1.86 kg / 1000) * 8,000 km * 15 g CO2e/tkm (Ocean) + (1.86 kg / 1000) * 500 km * 90 g CO2e/tkm (Road)</w:t>
            </w:r>
          </w:p>
        </w:tc>
        <w:tc>
          <w:tcPr/>
          <w:p>
            <w:pPr>
              <w:pStyle w:val="Compact"/>
              <w:jc w:val="left"/>
            </w:pPr>
            <w:r>
              <w:t xml:space="preserve">0.1581</w:t>
            </w:r>
          </w:p>
        </w:tc>
        <w:tc>
          <w:tcPr/>
          <w:p>
            <w:pPr>
              <w:pStyle w:val="Compact"/>
              <w:jc w:val="left"/>
            </w:pPr>
            <w:r>
              <w:t xml:space="preserve">Scope 3 (Upstream)</w:t>
            </w:r>
          </w:p>
        </w:tc>
      </w:tr>
      <w:tr>
        <w:tc>
          <w:tcPr/>
          <w:p>
            <w:pPr>
              <w:pStyle w:val="Compact"/>
              <w:jc w:val="left"/>
            </w:pPr>
            <w:r>
              <w:rPr>
                <w:bCs/>
                <w:b/>
              </w:rPr>
              <w:t xml:space="preserve">Outbound Transport (Product)</w:t>
            </w:r>
          </w:p>
        </w:tc>
        <w:tc>
          <w:tcPr/>
          <w:p>
            <w:pPr>
              <w:pStyle w:val="Compact"/>
              <w:jc w:val="left"/>
            </w:pPr>
            <w:r>
              <w:t xml:space="preserve">(1 kg / 1000) * 12,000 km * 15 g CO2e/tkm (Ocean) + (1 kg / 1000) * 800 km * 90 g CO2e/tkm (Road) + 0.25 kg CO2e/package (Last-Mile)</w:t>
            </w:r>
          </w:p>
        </w:tc>
        <w:tc>
          <w:tcPr/>
          <w:p>
            <w:pPr>
              <w:pStyle w:val="Compact"/>
              <w:jc w:val="left"/>
            </w:pPr>
            <w:r>
              <w:t xml:space="preserve">0.332</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(10 kWh/year * 5 years) * 0.25 kg CO2e/kWh (EU Grid)</w:t>
            </w:r>
          </w:p>
        </w:tc>
        <w:tc>
          <w:tcPr/>
          <w:p>
            <w:pPr>
              <w:pStyle w:val="Compact"/>
              <w:jc w:val="left"/>
            </w:pPr>
            <w:r>
              <w:t xml:space="preserve">12.50</w:t>
            </w:r>
          </w:p>
        </w:tc>
        <w:tc>
          <w:tcPr/>
          <w:p>
            <w:pPr>
              <w:pStyle w:val="Compact"/>
              <w:jc w:val="left"/>
            </w:pPr>
            <w:r>
              <w:t xml:space="preserve">Scope 3 (Downstream)</w:t>
            </w:r>
          </w:p>
        </w:tc>
      </w:tr>
      <w:tr>
        <w:tc>
          <w:tcPr/>
          <w:p>
            <w:pPr>
              <w:pStyle w:val="Compact"/>
              <w:jc w:val="left"/>
            </w:pPr>
            <w:r>
              <w:rPr>
                <w:bCs/>
                <w:b/>
              </w:rPr>
              <w:t xml:space="preserve">End-of-Life</w:t>
            </w:r>
          </w:p>
        </w:tc>
        <w:tc>
          <w:tcPr/>
          <w:p>
            <w:pPr>
              <w:pStyle w:val="Compact"/>
              <w:jc w:val="left"/>
            </w:pPr>
            <w:r>
              <w:t xml:space="preserve">0.558 kg (disposed mass) * 0.5 kg CO2e/kg (disposal EF)</w:t>
            </w:r>
          </w:p>
        </w:tc>
        <w:tc>
          <w:tcPr/>
          <w:p>
            <w:pPr>
              <w:pStyle w:val="Compact"/>
              <w:jc w:val="left"/>
            </w:pPr>
            <w:r>
              <w:t xml:space="preserve">0.28</w:t>
            </w:r>
          </w:p>
        </w:tc>
        <w:tc>
          <w:tcPr/>
          <w:p>
            <w:pPr>
              <w:pStyle w:val="Compact"/>
              <w:jc w:val="left"/>
            </w:pPr>
            <w:r>
              <w:t xml:space="preserve">Scope 3 (Downstream)</w:t>
            </w:r>
          </w:p>
        </w:tc>
      </w:tr>
      <w:tr>
        <w:tc>
          <w:tcPr>
            <w:gridSpan w:val="2"/>
          </w:tcPr>
          <w:p>
            <w:pPr>
              <w:pStyle w:val="Compact"/>
              <w:jc w:val="left"/>
            </w:pPr>
            <w:r>
              <w:t xml:space="preserve">TOTAL PRODUCT CARBON FOOTPRINT (PCF)</w:t>
            </w:r>
          </w:p>
        </w:tc>
        <w:tc>
          <w:tcPr/>
          <w:p>
            <w:pPr>
              <w:pStyle w:val="Compact"/>
              <w:jc w:val="left"/>
            </w:pPr>
            <w:r>
              <w:t xml:space="preserve">26.94</w:t>
            </w:r>
          </w:p>
        </w:tc>
        <w:tc>
          <w:tcPr/>
          <w:p>
            <w:pPr>
              <w:pStyle w:val="Compact"/>
            </w:pPr>
          </w:p>
        </w:tc>
      </w:tr>
    </w:tbl>
    <w:bookmarkEnd w:id="39"/>
    <w:bookmarkStart w:id="40" w:name="ghg-scope-categorization-summary"/>
    <w:p>
      <w:pPr>
        <w:pStyle w:val="Heading3"/>
      </w:pPr>
      <w:r>
        <w:t xml:space="preserve">4.2. GHG Scope Categorization Summary</w:t>
      </w:r>
    </w:p>
    <w:p>
      <w:pPr>
        <w:numPr>
          <w:ilvl w:val="0"/>
          <w:numId w:val="1009"/>
        </w:numPr>
        <w:pStyle w:val="Compact"/>
      </w:pPr>
      <w:r>
        <w:rPr>
          <w:bCs/>
          <w:b/>
        </w:rPr>
        <w:t xml:space="preserve">Scope 1 Emissions:</w:t>
      </w:r>
      <w:r>
        <w:t xml:space="preserve"> </w:t>
      </w:r>
      <w:r>
        <w:t xml:space="preserve">0.00 kg CO2e (No direct fuel combustion or fugitive emissions quantified in this cradle-to-gate plus downstream analysis based on provided parameters).</w:t>
      </w:r>
    </w:p>
    <w:p>
      <w:pPr>
        <w:numPr>
          <w:ilvl w:val="0"/>
          <w:numId w:val="1009"/>
        </w:numPr>
        <w:pStyle w:val="Compact"/>
      </w:pPr>
      <w:r>
        <w:rPr>
          <w:bCs/>
          <w:b/>
        </w:rPr>
        <w:t xml:space="preserve">Scope 2 Emissions:</w:t>
      </w:r>
      <w:r>
        <w:t xml:space="preserve"> </w:t>
      </w:r>
      <w:r>
        <w:t xml:space="preserve">6.30 kg CO2e (From purchased electricity for manufacturing).</w:t>
      </w:r>
    </w:p>
    <w:p>
      <w:pPr>
        <w:numPr>
          <w:ilvl w:val="0"/>
          <w:numId w:val="1009"/>
        </w:numPr>
        <w:pStyle w:val="Compact"/>
      </w:pPr>
      <w:r>
        <w:rPr>
          <w:bCs/>
          <w:b/>
        </w:rPr>
        <w:t xml:space="preserve">Scope 3 Emissions:</w:t>
      </w:r>
      <w:r>
        <w:t xml:space="preserve"> </w:t>
      </w:r>
      <w:r>
        <w:t xml:space="preserve">20.64 kg CO2e (Raw materials, transport, use phase, and end-of-life). This represents ~76.6% of the total PCF, which is typical for many products.</w:t>
      </w:r>
    </w:p>
    <w:p>
      <w:pPr>
        <w:pStyle w:val="FirstParagraph"/>
      </w:pPr>
      <w:r>
        <w:t xml:space="preserve">The analysis demonstrates significant Scope 3 emissions, aligning with the typical distribution for product footprints. This highlights the importance of value chain engagement for emission reduction.</w:t>
      </w:r>
    </w:p>
    <w:p>
      <w:r>
        <w:pict>
          <v:rect style="width:0;height:1.5pt" o:hralign="center" o:hrstd="t" o:hr="t"/>
        </w:pict>
      </w:r>
    </w:p>
    <w:bookmarkEnd w:id="40"/>
    <w:bookmarkEnd w:id="41"/>
    <w:bookmarkStart w:id="46" w:name="review-report-step-5"/>
    <w:p>
      <w:pPr>
        <w:pStyle w:val="Heading2"/>
      </w:pPr>
      <w:r>
        <w:t xml:space="preserve">5. Review &amp; Report (Step 5)</w:t>
      </w:r>
    </w:p>
    <w:bookmarkStart w:id="42" w:name="total-product-carbon-footprint"/>
    <w:p>
      <w:pPr>
        <w:pStyle w:val="Heading3"/>
      </w:pPr>
      <w:r>
        <w:t xml:space="preserve">5.1. Total Product Carbon Footprint</w:t>
      </w:r>
    </w:p>
    <w:p>
      <w:pPr>
        <w:pStyle w:val="FirstParagraph"/>
      </w:pPr>
      <w:r>
        <w:t xml:space="preserve">The total Product Carbon Footprint for one unit of txfzjmwrlw (Smart Sensor Device) is calculated to be</w:t>
      </w:r>
      <w:r>
        <w:t xml:space="preserve"> </w:t>
      </w:r>
      <w:r>
        <w:rPr>
          <w:bCs/>
          <w:b/>
        </w:rPr>
        <w:t xml:space="preserve">26.94 kg CO2e</w:t>
      </w:r>
      <w:r>
        <w:t xml:space="preserve">.</w:t>
      </w:r>
    </w:p>
    <w:bookmarkEnd w:id="42"/>
    <w:bookmarkStart w:id="43" w:name="hotspots-and-key-insights"/>
    <w:p>
      <w:pPr>
        <w:pStyle w:val="Heading3"/>
      </w:pPr>
      <w:r>
        <w:t xml:space="preserve">5.2. Hotspots and Key Insights</w:t>
      </w:r>
    </w:p>
    <w:p>
      <w:pPr>
        <w:pStyle w:val="FirstParagraph"/>
      </w:pPr>
      <w:r>
        <w:t xml:space="preserve">The analysis identifies the following emission hotspots:</w:t>
      </w:r>
    </w:p>
    <w:p>
      <w:pPr>
        <w:numPr>
          <w:ilvl w:val="0"/>
          <w:numId w:val="1010"/>
        </w:numPr>
        <w:pStyle w:val="Compact"/>
      </w:pPr>
      <w:r>
        <w:rPr>
          <w:bCs/>
          <w:b/>
        </w:rPr>
        <w:t xml:space="preserve">Use Phase (46.4%):</w:t>
      </w:r>
      <w:r>
        <w:t xml:space="preserve"> </w:t>
      </w:r>
      <w:r>
        <w:t xml:space="preserve">Energy consumption during the product\'s 5-year lifespan is the largest contributor to the PCF. This suggests that optimizing energy efficiency during operation and promoting the use of renewable energy by end-users are critical areas for reduction.</w:t>
      </w:r>
    </w:p>
    <w:p>
      <w:pPr>
        <w:numPr>
          <w:ilvl w:val="0"/>
          <w:numId w:val="1010"/>
        </w:numPr>
        <w:pStyle w:val="Compact"/>
      </w:pPr>
      <w:r>
        <w:rPr>
          <w:bCs/>
          <w:b/>
        </w:rPr>
        <w:t xml:space="preserve">Raw Materials (27.3%):</w:t>
      </w:r>
      <w:r>
        <w:t xml:space="preserve"> </w:t>
      </w:r>
      <w:r>
        <w:t xml:space="preserve">The extraction and processing of materials, particularly aluminum and electronic components (PCBA), significantly impact the footprint. Strategies like material lightweighting, sourcing low-carbon materials, and increasing recycled content are crucial.</w:t>
      </w:r>
    </w:p>
    <w:p>
      <w:pPr>
        <w:numPr>
          <w:ilvl w:val="0"/>
          <w:numId w:val="1010"/>
        </w:numPr>
        <w:pStyle w:val="Compact"/>
      </w:pPr>
      <w:r>
        <w:rPr>
          <w:bCs/>
          <w:b/>
        </w:rPr>
        <w:t xml:space="preserve">Manufacturing Energy (23.4%):</w:t>
      </w:r>
      <w:r>
        <w:t xml:space="preserve"> </w:t>
      </w:r>
      <w:r>
        <w:t xml:space="preserve">While not the largest, the energy consumed in the China-based manufacturing process contributes substantially. Increasing the share of renewable energy at production facilities is a key lever.</w:t>
      </w:r>
    </w:p>
    <w:p>
      <w:pPr>
        <w:numPr>
          <w:ilvl w:val="0"/>
          <w:numId w:val="1010"/>
        </w:numPr>
        <w:pStyle w:val="Compact"/>
      </w:pPr>
      <w:r>
        <w:rPr>
          <w:bCs/>
          <w:b/>
        </w:rPr>
        <w:t xml:space="preserve">Transport (1.8%) and End-of-Life (1.0%):</w:t>
      </w:r>
      <w:r>
        <w:t xml:space="preserve"> </w:t>
      </w:r>
      <w:r>
        <w:t xml:space="preserve">These phases contribute a smaller, though still relevant, portion of the overall footprint. Optimizing logistics and enhancing circularity initiatives can further reduce these impacts.</w:t>
      </w:r>
    </w:p>
    <w:bookmarkEnd w:id="43"/>
    <w:bookmarkStart w:id="44" w:name="reliability-and-assumptions"/>
    <w:p>
      <w:pPr>
        <w:pStyle w:val="Heading3"/>
      </w:pPr>
      <w:r>
        <w:t xml:space="preserve">5.3. Reliability and Assumptions</w:t>
      </w:r>
    </w:p>
    <w:p>
      <w:pPr>
        <w:pStyle w:val="FirstParagraph"/>
      </w:pPr>
      <w:r>
        <w:t xml:space="preserve">The reliability of this report is based on the application of the GHG Protocol and the use of generally accepted industry-standard emission factors. The calculations for placeholder parameters relied on illustrative data and reasonable assumptions for emission factors (e.g., electricity grids, transport modes, and disposal). Actual emissions may vary based on specific supplier data, real-time energy mixes, and precise transport routes and efficiencies.</w:t>
      </w:r>
    </w:p>
    <w:p>
      <w:pPr>
        <w:pStyle w:val="BodyText"/>
      </w:pPr>
      <w:r>
        <w:t xml:space="preserve">The explicit inclusion of all provided parameters and the detailed breakdown by lifecycle stage enhance the transparency and accuracy of this analysis.</w:t>
      </w:r>
    </w:p>
    <w:bookmarkEnd w:id="44"/>
    <w:bookmarkStart w:id="45" w:name="recommendations-for-ezptjyfhxu"/>
    <w:p>
      <w:pPr>
        <w:pStyle w:val="Heading3"/>
      </w:pPr>
      <w:r>
        <w:t xml:space="preserve">5.4. Recommendations for ezptjyfhxu</w:t>
      </w:r>
    </w:p>
    <w:p>
      <w:pPr>
        <w:numPr>
          <w:ilvl w:val="0"/>
          <w:numId w:val="1011"/>
        </w:numPr>
        <w:pStyle w:val="Compact"/>
      </w:pPr>
      <w:r>
        <w:rPr>
          <w:bCs/>
          <w:b/>
        </w:rPr>
        <w:t xml:space="preserve">Energy Efficiency in Use:</w:t>
      </w:r>
      <w:r>
        <w:t xml:space="preserve"> </w:t>
      </w:r>
      <w:r>
        <w:t xml:space="preserve">Invest in R&amp;D to enhance the energy efficiency of txfzjmwrlw during its operational lifespan. Provide users with information on low-carbon energy sources.</w:t>
      </w:r>
    </w:p>
    <w:p>
      <w:pPr>
        <w:numPr>
          <w:ilvl w:val="0"/>
          <w:numId w:val="1011"/>
        </w:numPr>
        <w:pStyle w:val="Compact"/>
      </w:pPr>
      <w:r>
        <w:rPr>
          <w:bCs/>
          <w:b/>
        </w:rPr>
        <w:t xml:space="preserve">Sustainable Material Sourcing:</w:t>
      </w:r>
      <w:r>
        <w:t xml:space="preserve"> </w:t>
      </w:r>
      <w:r>
        <w:t xml:space="preserve">Explore alternative materials with lower embedded carbon footprints. Engage with suppliers to increase the recycled content of components and ensure transparency in their material production processes.</w:t>
      </w:r>
    </w:p>
    <w:p>
      <w:pPr>
        <w:numPr>
          <w:ilvl w:val="0"/>
          <w:numId w:val="1011"/>
        </w:numPr>
        <w:pStyle w:val="Compact"/>
      </w:pPr>
      <w:r>
        <w:rPr>
          <w:bCs/>
          <w:b/>
        </w:rPr>
        <w:t xml:space="preserve">Renewable Energy in Manufacturing:</w:t>
      </w:r>
      <w:r>
        <w:t xml:space="preserve"> </w:t>
      </w:r>
      <w:r>
        <w:t xml:space="preserve">Accelerate the transition to 100% renewable energy for manufacturing operations in China. This can involve on-site generation or purchasing renewable energy credits/power purchase agreements.</w:t>
      </w:r>
    </w:p>
    <w:p>
      <w:pPr>
        <w:numPr>
          <w:ilvl w:val="0"/>
          <w:numId w:val="1011"/>
        </w:numPr>
        <w:pStyle w:val="Compact"/>
      </w:pPr>
      <w:r>
        <w:rPr>
          <w:bCs/>
          <w:b/>
        </w:rPr>
        <w:t xml:space="preserve">Circular Economy Integration:</w:t>
      </w:r>
      <w:r>
        <w:t xml:space="preserve"> </w:t>
      </w:r>
      <w:r>
        <w:t xml:space="preserve">Continue to strengthen circular/take-back programs. Investigate opportunities to design for disassembly and material recovery beyond the stated 70% recyclability, aiming for closed-loop systems for critical components.</w:t>
      </w:r>
    </w:p>
    <w:p>
      <w:pPr>
        <w:numPr>
          <w:ilvl w:val="0"/>
          <w:numId w:val="1011"/>
        </w:numPr>
        <w:pStyle w:val="Compact"/>
      </w:pPr>
      <w:r>
        <w:rPr>
          <w:bCs/>
          <w:b/>
        </w:rPr>
        <w:t xml:space="preserve">Data Refinement:</w:t>
      </w:r>
      <w:r>
        <w:t xml:space="preserve"> </w:t>
      </w:r>
      <w:r>
        <w:t xml:space="preserve">For future analyses, gather primary data for specific transport routes and modes (e.g., actual fuel consumption, load factors) and detailed regional electricity grid mixes for the use phase.</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txfzjmwrlw (Smart Sensor Device)</dc:title>
  <dc:creator/>
  <dc:description>High-detail Product Carbon Footprint (PCF) analysis for txfzjmwrlw (Smart Sensor Device) by ezptjyfhxu, adhering to GHG Protocol standards and 2026 updates.</dc:description>
  <dc:language>en</dc:language>
  <cp:keywords/>
  <dcterms:created xsi:type="dcterms:W3CDTF">2026-07-15T20:01:09Z</dcterms:created>
  <dcterms:modified xsi:type="dcterms:W3CDTF">2026-07-15T20:01:09Z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