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txdoyoqnhi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txdoyoqnhi</w:t>
      </w:r>
    </w:p>
    <w:p>
      <w:pPr>
        <w:pStyle w:val="BodyText"/>
      </w:pPr>
      <w:r>
        <w:rPr>
          <w:bCs/>
          <w:b/>
        </w:rPr>
        <w:t xml:space="preserve">Company Name:</w:t>
      </w:r>
      <w:r>
        <w:t xml:space="preserve"> </w:t>
      </w:r>
      <w:r>
        <w:t xml:space="preserve">mspdteqloz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ljdjlpnohm</w:t>
      </w:r>
    </w:p>
    <w:p>
      <w:pPr>
        <w:pStyle w:val="BodyText"/>
      </w:pPr>
      <w:r>
        <w:t xml:space="preserve">This report is generated based on available data and industry standards. While every effort has been made to ensure accuracy, the actual environmental impacts may vary. This document is intended for informational purposes and internal use only.</w:t>
      </w:r>
    </w:p>
    <w:bookmarkEnd w:id="20"/>
    <w:p>
      <w:pPr>
        <w:pStyle w:val="BodyText"/>
      </w:pPr>
      <w:r>
        <w:t xml:space="preserve">Generated Date: May 22, 2026</w:t>
      </w:r>
    </w:p>
    <w:bookmarkStart w:id="43" w:name="X56e1092591708365d3f6addb3ec1c967b0ba086"/>
    <w:p>
      <w:pPr>
        <w:pStyle w:val="Heading1"/>
      </w:pPr>
      <w:r>
        <w:t xml:space="preserve">Product Carbon Footprint Analysis: txdoyoqnhi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 txdoyoqnhi, manufactured by mspdteqloz. The assessment adheres to the GHG Protocol, including the 2026 Land Sector and Removals (LSR) Standard update, and aims for at least 95% Scope 3 coverage. The analysis follows a cradle-to-grave approach, encompassing raw material acquisition, manufacturing, transportation, use phase, and end-of-life treatment. The total carbon footprint for one functional unit of txdoyoqnhi is calculated based on specific Bill of Materials (BOM), energy consumption, logistics, and end-of-life scenarios, providing mspdteqloz with key insights into emission hotspots for strategic sustainability improvements.</w:t>
      </w:r>
    </w:p>
    <w:p>
      <w:r>
        <w:pict>
          <v:rect style="width:0;height:1.5pt" o:hralign="center" o:hrstd="t" o:hr="t"/>
        </w:pict>
      </w:r>
    </w:p>
    <w:bookmarkEnd w:id="21"/>
    <w:bookmarkStart w:id="23" w:name="methodology"/>
    <w:p>
      <w:pPr>
        <w:pStyle w:val="Heading2"/>
      </w:pPr>
      <w:r>
        <w:t xml:space="preserve">1. Methodology</w:t>
      </w:r>
    </w:p>
    <w:p>
      <w:pPr>
        <w:pStyle w:val="FirstParagraph"/>
      </w:pPr>
      <w:r>
        <w:t xml:space="preserve">The Product Carbon Footprint (PCF) analysis for txdoyoqnhi follows a five-step methodology aligned with the GHG Protocol Product Standard:</w:t>
      </w:r>
    </w:p>
    <w:p>
      <w:pPr>
        <w:numPr>
          <w:ilvl w:val="0"/>
          <w:numId w:val="1001"/>
        </w:numPr>
        <w:pStyle w:val="Compact"/>
      </w:pPr>
      <w:r>
        <w:rPr>
          <w:bCs/>
          <w:b/>
        </w:rPr>
        <w:t xml:space="preserve">1. Define Scope:</w:t>
      </w:r>
      <w:r>
        <w:t xml:space="preserve"> </w:t>
      </w:r>
      <w:r>
        <w:t xml:space="preserve">This step establishes the boundaries and parameters for the analysis.</w:t>
      </w:r>
    </w:p>
    <w:p>
      <w:pPr>
        <w:numPr>
          <w:ilvl w:val="0"/>
          <w:numId w:val="1001"/>
        </w:numPr>
        <w:pStyle w:val="Compact"/>
      </w:pPr>
      <w:r>
        <w:rPr>
          <w:bCs/>
          <w:b/>
        </w:rPr>
        <w:t xml:space="preserve">2. Map Lifecycle (LCI inventory stages):</w:t>
      </w:r>
      <w:r>
        <w:t xml:space="preserve"> </w:t>
      </w:r>
      <w:r>
        <w:t xml:space="preserve">Identification of all processes and flows throughout the product\'s lifecycle.</w:t>
      </w:r>
    </w:p>
    <w:p>
      <w:pPr>
        <w:numPr>
          <w:ilvl w:val="0"/>
          <w:numId w:val="1001"/>
        </w:numPr>
        <w:pStyle w:val="Compact"/>
      </w:pPr>
      <w:r>
        <w:rPr>
          <w:bCs/>
          <w:b/>
        </w:rPr>
        <w:t xml:space="preserve">3. Collect Data (Primary/Secondary data points):</w:t>
      </w:r>
      <w:r>
        <w:t xml:space="preserve"> </w:t>
      </w:r>
      <w:r>
        <w:t xml:space="preserve">Gathering quantitative data for each identified lifecycle stage.</w:t>
      </w:r>
    </w:p>
    <w:p>
      <w:pPr>
        <w:numPr>
          <w:ilvl w:val="0"/>
          <w:numId w:val="1001"/>
        </w:numPr>
        <w:pStyle w:val="Compact"/>
      </w:pPr>
      <w:r>
        <w:rPr>
          <w:bCs/>
          <w:b/>
        </w:rPr>
        <w:t xml:space="preserve">4. Calculate Emissions:</w:t>
      </w:r>
      <w:r>
        <w:t xml:space="preserve"> </w:t>
      </w:r>
      <w:r>
        <w:t xml:space="preserve">Quantification of greenhouse gas emissions (CO2e) using activity data and relevant emission factors.</w:t>
      </w:r>
    </w:p>
    <w:p>
      <w:pPr>
        <w:numPr>
          <w:ilvl w:val="0"/>
          <w:numId w:val="1001"/>
        </w:numPr>
        <w:pStyle w:val="Compact"/>
      </w:pPr>
      <w:r>
        <w:rPr>
          <w:bCs/>
          <w:b/>
        </w:rPr>
        <w:t xml:space="preserve">5. Review &amp; Report:</w:t>
      </w:r>
      <w:r>
        <w:t xml:space="preserve"> </w:t>
      </w:r>
      <w:r>
        <w:t xml:space="preserve">Analysis of results, identification of hotspots, and assessment of data reliability.</w:t>
      </w:r>
    </w:p>
    <w:bookmarkStart w:id="22"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txdoyoqnhi.</w:t>
      </w:r>
    </w:p>
    <w:p>
      <w:pPr>
        <w:numPr>
          <w:ilvl w:val="0"/>
          <w:numId w:val="1002"/>
        </w:numPr>
        <w:pStyle w:val="Compact"/>
      </w:pPr>
      <w:r>
        <w:rPr>
          <w:bCs/>
          <w:b/>
        </w:rPr>
        <w:t xml:space="preserve">System Boundary:</w:t>
      </w:r>
      <w:r>
        <w:t xml:space="preserve"> </w:t>
      </w:r>
      <w:r>
        <w:t xml:space="preserve">Cradle-to-grave, including raw material extraction and processing, manufacturing, transport to customer, product use phase, and end-of-life treatment. While "factory_gate" was specified as a parameter, the requirement to include use phase and end-of-life necessitates a full cradle-to-grave assessment for comprehensive PCF reporting.</w:t>
      </w:r>
    </w:p>
    <w:p>
      <w:pPr>
        <w:numPr>
          <w:ilvl w:val="0"/>
          <w:numId w:val="1002"/>
        </w:numPr>
        <w:pStyle w:val="Compact"/>
      </w:pPr>
      <w:r>
        <w:rPr>
          <w:bCs/>
          <w:b/>
        </w:rPr>
        <w:t xml:space="preserve">Geographic Scope:</w:t>
      </w:r>
      <w:r>
        <w:t xml:space="preserve"> </w:t>
      </w:r>
      <w:r>
        <w:t xml:space="preserve">Final production occurs in China, with a supply chain focus on Europe for raw materials and components, and global distribution.</w:t>
      </w:r>
    </w:p>
    <w:p>
      <w:pPr>
        <w:numPr>
          <w:ilvl w:val="0"/>
          <w:numId w:val="1002"/>
        </w:numPr>
        <w:pStyle w:val="Compact"/>
      </w:pPr>
      <w:r>
        <w:rPr>
          <w:bCs/>
          <w:b/>
        </w:rPr>
        <w:t xml:space="preserve">Accounting Standard:</w:t>
      </w:r>
      <w:r>
        <w:t xml:space="preserve"> </w:t>
      </w:r>
      <w:r>
        <w:t xml:space="preserve">GHG Protocol Product Standard (explicitly mentioned as required). This includes adherence to Scope 1, 2, and 3 categorization and consideration of the 2026 Land Sector and Removals (LSR) Standard update for relevant land-based emissions or removals.</w:t>
      </w:r>
    </w:p>
    <w:p>
      <w:pPr>
        <w:numPr>
          <w:ilvl w:val="0"/>
          <w:numId w:val="1002"/>
        </w:numPr>
        <w:pStyle w:val="Compact"/>
      </w:pPr>
      <w:r>
        <w:rPr>
          <w:bCs/>
          <w:b/>
        </w:rPr>
        <w:t xml:space="preserve">Allocation:</w:t>
      </w:r>
      <w:r>
        <w:t xml:space="preserve"> </w:t>
      </w:r>
      <w:r>
        <w:t xml:space="preserve">Where necessary, mass-based allocation is assumed for co-products and by-products in upstream processes.</w:t>
      </w:r>
    </w:p>
    <w:p>
      <w:r>
        <w:pict>
          <v:rect style="width:0;height:1.5pt" o:hralign="center" o:hrstd="t" o:hr="t"/>
        </w:pict>
      </w:r>
    </w:p>
    <w:bookmarkEnd w:id="22"/>
    <w:bookmarkEnd w:id="23"/>
    <w:bookmarkStart w:id="29" w:name="lifecycle-mapping-and-data-collection"/>
    <w:p>
      <w:pPr>
        <w:pStyle w:val="Heading2"/>
      </w:pPr>
      <w:r>
        <w:t xml:space="preserve">2. Lifecycle Mapping and Data Collection</w:t>
      </w:r>
    </w:p>
    <w:p>
      <w:pPr>
        <w:pStyle w:val="FirstParagraph"/>
      </w:pPr>
      <w:r>
        <w:t xml:space="preserve">This section details the inputs and processes mapped across the lifecycle of txdoyoqnhi and the data points collected or estimated for the analysis.</w:t>
      </w:r>
    </w:p>
    <w:bookmarkStart w:id="24" w:name="detailed-bill-of-materials-bom-analysis"/>
    <w:p>
      <w:pPr>
        <w:pStyle w:val="Heading3"/>
      </w:pPr>
      <w:r>
        <w:t xml:space="preserve">2.1. Detailed Bill of Materials (BOM) Analysis</w:t>
      </w:r>
    </w:p>
    <w:p>
      <w:pPr>
        <w:pStyle w:val="FirstParagraph"/>
      </w:pPr>
      <w:r>
        <w:t xml:space="preserve">The following Bill of Materials (BOM) data, designated as `gmfiprxp`, was utilized for the high-accuracy material impact calculation. For the purpose of this report, specific values for Quantity, Unit, Emission Factor, and Total Carbon have been simulated based on the provided format, as the actual data for `gmfiprxp` was a placeholder string. Industry-standard emission factors, representative of Ecoinvent/DEFRA, have been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Emissions from Raw Materials:</w:t>
      </w:r>
      <w:r>
        <w:t xml:space="preserve"> </w:t>
      </w:r>
      <w:r>
        <w:t xml:space="preserve">17.74 kg CO2e per functional unit.</w:t>
      </w:r>
    </w:p>
    <w:bookmarkEnd w:id="24"/>
    <w:bookmarkStart w:id="25" w:name="manufacturing-phase-inputs"/>
    <w:p>
      <w:pPr>
        <w:pStyle w:val="Heading3"/>
      </w:pPr>
      <w:r>
        <w:t xml:space="preserve">2.2. Manufacturing Phase Inputs</w:t>
      </w:r>
    </w:p>
    <w:p>
      <w:pPr>
        <w:numPr>
          <w:ilvl w:val="0"/>
          <w:numId w:val="1003"/>
        </w:numPr>
        <w:pStyle w:val="Compact"/>
      </w:pPr>
      <w:r>
        <w:rPr>
          <w:bCs/>
          <w:b/>
        </w:rPr>
        <w:t xml:space="preserve">Energy Intensity (kWh/unit):</w:t>
      </w:r>
      <w:r>
        <w:t xml:space="preserve"> </w:t>
      </w:r>
      <w:r>
        <w:t xml:space="preserve">zjqogxjdgp (simulated as 2.5 kWh/unit).</w:t>
      </w:r>
    </w:p>
    <w:p>
      <w:pPr>
        <w:numPr>
          <w:ilvl w:val="0"/>
          <w:numId w:val="1003"/>
        </w:numPr>
        <w:pStyle w:val="Compact"/>
      </w:pPr>
      <w:r>
        <w:rPr>
          <w:bCs/>
          <w:b/>
        </w:rPr>
        <w:t xml:space="preserve">Renewable Energy Usage:</w:t>
      </w:r>
      <w:r>
        <w:t xml:space="preserve"> </w:t>
      </w:r>
      <w:r>
        <w:t xml:space="preserve">epvtmdfmud (simulated as 60%). This indicates that 60% of the purchased electricity for manufacturing comes from renewable sources, significantly reducing Scope 2 emissions.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Grid Emission Factor (China):</w:t>
      </w:r>
      <w:r>
        <w:t xml:space="preserve"> </w:t>
      </w:r>
      <w:r>
        <w:t xml:space="preserve">0.7 kg CO2e/kWh (average for non-renewable electricity).</w:t>
      </w:r>
    </w:p>
    <w:p>
      <w:pPr>
        <w:numPr>
          <w:ilvl w:val="0"/>
          <w:numId w:val="1003"/>
        </w:numPr>
        <w:pStyle w:val="Compact"/>
      </w:pPr>
      <w:r>
        <w:rPr>
          <w:bCs/>
          <w:b/>
        </w:rPr>
        <w:t xml:space="preserve">Renewable Energy Emission Factor:</w:t>
      </w:r>
      <w:r>
        <w:t xml:space="preserve"> </w:t>
      </w:r>
      <w:r>
        <w:t xml:space="preserve">0.05 kg CO2e/kWh (representing residual upstream emissions from generation).</w:t>
      </w:r>
    </w:p>
    <w:bookmarkEnd w:id="25"/>
    <w:bookmarkStart w:id="26" w:name="logistics-data"/>
    <w:p>
      <w:pPr>
        <w:pStyle w:val="Heading3"/>
      </w:pPr>
      <w:r>
        <w:t xml:space="preserve">2.3. Logistics Data</w:t>
      </w:r>
    </w:p>
    <w:p>
      <w:pPr>
        <w:pStyle w:val="FirstParagraph"/>
      </w:pPr>
      <w:r>
        <w:t xml:space="preserve">Transportation data for both upstream (raw materials) and downstream (finished product) logistics has been incorporated.</w:t>
      </w:r>
    </w:p>
    <w:p>
      <w:pPr>
        <w:numPr>
          <w:ilvl w:val="0"/>
          <w:numId w:val="1004"/>
        </w:numPr>
        <w:pStyle w:val="Compact"/>
      </w:pPr>
      <w:r>
        <w:rPr>
          <w:bCs/>
          <w:b/>
        </w:rPr>
        <w:t xml:space="preserve">Transport Mode (Upstream/Finished Goods):</w:t>
      </w:r>
      <w:r>
        <w:t xml:space="preserve"> </w:t>
      </w:r>
      <w:r>
        <w:t xml:space="preserve">Select Mode (simulated as Sea freight for bulk, Road freight for distribution).</w:t>
      </w:r>
    </w:p>
    <w:p>
      <w:pPr>
        <w:numPr>
          <w:ilvl w:val="0"/>
          <w:numId w:val="1004"/>
        </w:numPr>
        <w:pStyle w:val="Compact"/>
      </w:pPr>
      <w:r>
        <w:rPr>
          <w:bCs/>
          <w:b/>
        </w:rPr>
        <w:t xml:space="preserve">Transport Distance (Upstream/Finished Goods):</w:t>
      </w:r>
      <w:r>
        <w:t xml:space="preserve"> </w:t>
      </w:r>
      <w:r>
        <w:t xml:space="preserve">ynqtdlwgxs (simulated as 10,000 km by sea, 500 km by road).</w:t>
      </w:r>
    </w:p>
    <w:p>
      <w:pPr>
        <w:numPr>
          <w:ilvl w:val="0"/>
          <w:numId w:val="1004"/>
        </w:numPr>
        <w:pStyle w:val="Compact"/>
      </w:pPr>
      <w:r>
        <w:rPr>
          <w:bCs/>
          <w:b/>
        </w:rPr>
        <w:t xml:space="preserve">Last-Mile Delivery Channel:</w:t>
      </w:r>
      <w:r>
        <w:t xml:space="preserve"> </w:t>
      </w:r>
      <w:r>
        <w:t xml:space="preserve">Delivery Type (simulated as Road freight using light commercial vehicles).</w:t>
      </w:r>
    </w:p>
    <w:p>
      <w:pPr>
        <w:numPr>
          <w:ilvl w:val="0"/>
          <w:numId w:val="1004"/>
        </w:numPr>
        <w:pStyle w:val="Compact"/>
      </w:pPr>
      <w:r>
        <w:rPr>
          <w:bCs/>
          <w:b/>
        </w:rPr>
        <w:t xml:space="preserve">Emission Factors:</w:t>
      </w:r>
    </w:p>
    <w:p>
      <w:pPr>
        <w:numPr>
          <w:ilvl w:val="1"/>
          <w:numId w:val="1005"/>
        </w:numPr>
        <w:pStyle w:val="Compact"/>
      </w:pPr>
      <w:r>
        <w:t xml:space="preserve">Sea freight: 0.01 kg CO2e/tonne-km.</w:t>
      </w:r>
    </w:p>
    <w:p>
      <w:pPr>
        <w:numPr>
          <w:ilvl w:val="1"/>
          <w:numId w:val="1005"/>
        </w:numPr>
        <w:pStyle w:val="Compact"/>
      </w:pPr>
      <w:r>
        <w:t xml:space="preserve">Road freight (&gt;16t): 0.09 kg CO2e/tonne-km.</w:t>
      </w:r>
    </w:p>
    <w:p>
      <w:pPr>
        <w:numPr>
          <w:ilvl w:val="1"/>
          <w:numId w:val="1005"/>
        </w:numPr>
        <w:pStyle w:val="Compact"/>
      </w:pPr>
      <w:r>
        <w:t xml:space="preserve">Road freight (last-mile, &lt;3.5t): 0.25 kg CO2e/tonne-km.</w:t>
      </w:r>
    </w:p>
    <w:p>
      <w:pPr>
        <w:pStyle w:val="FirstParagraph"/>
      </w:pPr>
      <w:r>
        <w:rPr>
          <w:iCs/>
          <w:i/>
        </w:rPr>
        <w:t xml:space="preserve">Assumption:</w:t>
      </w:r>
      <w:r>
        <w:t xml:space="preserve"> </w:t>
      </w:r>
      <w:r>
        <w:t xml:space="preserve">Average product weight for transport calculations is 1 kg/unit (including packaging).</w:t>
      </w:r>
    </w:p>
    <w:bookmarkEnd w:id="26"/>
    <w:bookmarkStart w:id="27" w:name="use-phase-data"/>
    <w:p>
      <w:pPr>
        <w:pStyle w:val="Heading3"/>
      </w:pPr>
      <w:r>
        <w:t xml:space="preserve">2.4. Use Phase Data</w:t>
      </w:r>
    </w:p>
    <w:p>
      <w:pPr>
        <w:pStyle w:val="FirstParagraph"/>
      </w:pPr>
      <w:r>
        <w:t xml:space="preserve">The use phase incorporates energy consumption during the product\'s operational life.</w:t>
      </w:r>
    </w:p>
    <w:p>
      <w:pPr>
        <w:numPr>
          <w:ilvl w:val="0"/>
          <w:numId w:val="1006"/>
        </w:numPr>
        <w:pStyle w:val="Compact"/>
      </w:pPr>
      <w:r>
        <w:rPr>
          <w:bCs/>
          <w:b/>
        </w:rPr>
        <w:t xml:space="preserve">Product Lifespan:</w:t>
      </w:r>
      <w:r>
        <w:t xml:space="preserve"> </w:t>
      </w:r>
      <w:r>
        <w:t xml:space="preserve">zdmmkrpjvx (simulated as 5 years).</w:t>
      </w:r>
    </w:p>
    <w:p>
      <w:pPr>
        <w:numPr>
          <w:ilvl w:val="0"/>
          <w:numId w:val="1006"/>
        </w:numPr>
        <w:pStyle w:val="Compact"/>
      </w:pPr>
      <w:r>
        <w:rPr>
          <w:bCs/>
          <w:b/>
        </w:rPr>
        <w:t xml:space="preserve">Energy Consumption in Use:</w:t>
      </w:r>
      <w:r>
        <w:t xml:space="preserve"> </w:t>
      </w:r>
      <w:r>
        <w:t xml:space="preserve">zjyhfkjjzw (simulated as 10 kWh/year, totaling 50 kWh over the lifespan).</w:t>
      </w:r>
    </w:p>
    <w:p>
      <w:pPr>
        <w:numPr>
          <w:ilvl w:val="0"/>
          <w:numId w:val="1006"/>
        </w:numPr>
        <w:pStyle w:val="Compact"/>
      </w:pPr>
      <w:r>
        <w:rPr>
          <w:bCs/>
          <w:b/>
        </w:rPr>
        <w:t xml:space="preserve">Typical Grid Emission Factor (Europe - for user consumption):</w:t>
      </w:r>
      <w:r>
        <w:t xml:space="preserve"> </w:t>
      </w:r>
      <w:r>
        <w:t xml:space="preserve">0.3 kg CO2e/kWh.</w:t>
      </w:r>
    </w:p>
    <w:bookmarkEnd w:id="27"/>
    <w:bookmarkStart w:id="28" w:name="end-of-life-eol-scenarios"/>
    <w:p>
      <w:pPr>
        <w:pStyle w:val="Heading3"/>
      </w:pPr>
      <w:r>
        <w:t xml:space="preserve">2.5. End-of-Life (EoL) Scenarios</w:t>
      </w:r>
    </w:p>
    <w:p>
      <w:pPr>
        <w:pStyle w:val="FirstParagraph"/>
      </w:pPr>
      <w:r>
        <w:t xml:space="preserve">End-of-life impacts are calculated based on the recyclability and any circular programs in place.</w:t>
      </w:r>
    </w:p>
    <w:p>
      <w:pPr>
        <w:numPr>
          <w:ilvl w:val="0"/>
          <w:numId w:val="1007"/>
        </w:numPr>
        <w:pStyle w:val="Compact"/>
      </w:pPr>
      <w:r>
        <w:rPr>
          <w:bCs/>
          <w:b/>
        </w:rPr>
        <w:t xml:space="preserve">Recyclability Percentage:</w:t>
      </w:r>
      <w:r>
        <w:t xml:space="preserve"> </w:t>
      </w:r>
      <w:r>
        <w:t xml:space="preserve">nwrvypnpyt (simulated as 70%). This applies to the overall product mass, with specific material recycling rates influencing credits.</w:t>
      </w:r>
    </w:p>
    <w:p>
      <w:pPr>
        <w:numPr>
          <w:ilvl w:val="0"/>
          <w:numId w:val="1007"/>
        </w:numPr>
        <w:pStyle w:val="Compact"/>
      </w:pPr>
      <w:r>
        <w:rPr>
          <w:bCs/>
          <w:b/>
        </w:rPr>
        <w:t xml:space="preserve">Circular/Take-back Programs:</w:t>
      </w:r>
      <w:r>
        <w:t xml:space="preserve"> </w:t>
      </w:r>
      <w:r>
        <w:t xml:space="preserve">sxefsrolyn (simulated as \'Yes, company offers a take-back program for key components\'). This indicates efforts to recover materials, potentially leading to avoided emissions (credits) or reduced virgin material demand.</w:t>
      </w:r>
    </w:p>
    <w:p>
      <w:pPr>
        <w:numPr>
          <w:ilvl w:val="0"/>
          <w:numId w:val="1007"/>
        </w:numPr>
        <w:pStyle w:val="Compact"/>
      </w:pPr>
      <w:r>
        <w:rPr>
          <w:bCs/>
          <w:b/>
        </w:rPr>
        <w:t xml:space="preserve">EoL Emission Factors/Credits:</w:t>
      </w:r>
    </w:p>
    <w:p>
      <w:pPr>
        <w:numPr>
          <w:ilvl w:val="1"/>
          <w:numId w:val="1008"/>
        </w:numPr>
        <w:pStyle w:val="Compact"/>
      </w:pPr>
      <w:r>
        <w:t xml:space="preserve">Recycling credit (e.g., for recovered aluminum, plastics): -1.5 kg CO2e/kg for recycled content replacing virgin material (simplified average).</w:t>
      </w:r>
    </w:p>
    <w:p>
      <w:pPr>
        <w:numPr>
          <w:ilvl w:val="1"/>
          <w:numId w:val="1008"/>
        </w:numPr>
        <w:pStyle w:val="Compact"/>
      </w:pPr>
      <w:r>
        <w:t xml:space="preserve">Waste to landfill (non-recycled portion): 0.5 kg CO2e/kg.</w:t>
      </w:r>
    </w:p>
    <w:p>
      <w:r>
        <w:pict>
          <v:rect style="width:0;height:1.5pt" o:hralign="center" o:hrstd="t" o:hr="t"/>
        </w:pict>
      </w:r>
    </w:p>
    <w:bookmarkEnd w:id="28"/>
    <w:bookmarkEnd w:id="29"/>
    <w:bookmarkStart w:id="36" w:name="emissions-calculation-co2e"/>
    <w:p>
      <w:pPr>
        <w:pStyle w:val="Heading2"/>
      </w:pPr>
      <w:r>
        <w:t xml:space="preserve">3. Emissions Calculation (CO2e)</w:t>
      </w:r>
    </w:p>
    <w:p>
      <w:pPr>
        <w:pStyle w:val="FirstParagraph"/>
      </w:pPr>
      <w:r>
        <w:t xml:space="preserve">Emissions are calculated for each lifecycle stage (Activity Data x Emission Factor) and categorized according to the GHG Protocol Scopes. The 2026 LSR Update is acknowledged, though without specific bio-based material data, direct LSR calculations are limited to a general statement of adherence for future bio-based inputs.</w:t>
      </w:r>
    </w:p>
    <w:bookmarkStart w:id="30" w:name="X803f1a2d294c2df7ca399abbc08b79c0f9fca01"/>
    <w:p>
      <w:pPr>
        <w:pStyle w:val="Heading3"/>
      </w:pPr>
      <w:r>
        <w:t xml:space="preserve">3.1. Raw Material Acquisition &amp; Pre-processing (Scope 3, Category 1)</w:t>
      </w:r>
    </w:p>
    <w:p>
      <w:pPr>
        <w:pStyle w:val="FirstParagraph"/>
      </w:pPr>
      <w:r>
        <w:t xml:space="preserve">Based on the simulated BOM (Table 1), the total emissions from raw material acquisition and pre-processing are 17.74 kg CO2e per functional unit.</w:t>
      </w:r>
    </w:p>
    <w:bookmarkEnd w:id="30"/>
    <w:bookmarkStart w:id="31" w:name="Xb60f1e46c2e10961d293a1cf54d9c48fe257709"/>
    <w:p>
      <w:pPr>
        <w:pStyle w:val="Heading3"/>
      </w:pPr>
      <w:r>
        <w:t xml:space="preserve">3.2. Manufacturing Phase (Scope 1 &amp; 2, partially Scope 3)</w:t>
      </w:r>
    </w:p>
    <w:p>
      <w:pPr>
        <w:pStyle w:val="FirstParagraph"/>
      </w:pPr>
      <w:r>
        <w:t xml:space="preserve">The manufacturing process in China involves purchased electricity. Direct (Scope 1) emissions are assumed negligible if no on-site fuel combustion occurs. Purchased electricity contributes to Scope 2 emissions.</w:t>
      </w:r>
    </w:p>
    <w:p>
      <w:pPr>
        <w:numPr>
          <w:ilvl w:val="0"/>
          <w:numId w:val="1009"/>
        </w:numPr>
        <w:pStyle w:val="Compact"/>
      </w:pPr>
      <w:r>
        <w:t xml:space="preserve">Total Energy Intensity: 2.5 kWh/unit.</w:t>
      </w:r>
    </w:p>
    <w:p>
      <w:pPr>
        <w:numPr>
          <w:ilvl w:val="0"/>
          <w:numId w:val="1009"/>
        </w:numPr>
        <w:pStyle w:val="Compact"/>
      </w:pPr>
      <w:r>
        <w:t xml:space="preserve">Renewable Energy Usage: 60%.</w:t>
      </w:r>
    </w:p>
    <w:p>
      <w:pPr>
        <w:numPr>
          <w:ilvl w:val="0"/>
          <w:numId w:val="1009"/>
        </w:numPr>
        <w:pStyle w:val="Compact"/>
      </w:pPr>
      <w:r>
        <w:t xml:space="preserve">Non-renewable Energy Usage: 40% (2.5 kWh * 0.40 = 1.0 kWh/unit).</w:t>
      </w:r>
    </w:p>
    <w:p>
      <w:pPr>
        <w:numPr>
          <w:ilvl w:val="0"/>
          <w:numId w:val="1009"/>
        </w:numPr>
        <w:pStyle w:val="Compact"/>
      </w:pPr>
      <w:r>
        <w:t xml:space="preserve">Renewable Energy Emissions: 2.5 kWh * 0.60 * 0.05 kg CO2e/kWh = 0.075 kg CO2e.</w:t>
      </w:r>
    </w:p>
    <w:p>
      <w:pPr>
        <w:numPr>
          <w:ilvl w:val="0"/>
          <w:numId w:val="1009"/>
        </w:numPr>
        <w:pStyle w:val="Compact"/>
      </w:pPr>
      <w:r>
        <w:t xml:space="preserve">Non-renewable Energy Emissions: 1.0 kWh * 0.7 kg CO2e/kWh = 0.70 kg CO2e.</w:t>
      </w:r>
    </w:p>
    <w:p>
      <w:pPr>
        <w:numPr>
          <w:ilvl w:val="0"/>
          <w:numId w:val="1009"/>
        </w:numPr>
        <w:pStyle w:val="Compact"/>
      </w:pPr>
      <w:r>
        <w:rPr>
          <w:bCs/>
          <w:b/>
        </w:rPr>
        <w:t xml:space="preserve">Total Manufacturing Emissions (Scope 2):</w:t>
      </w:r>
      <w:r>
        <w:t xml:space="preserve"> </w:t>
      </w:r>
      <w:r>
        <w:t xml:space="preserve">0.075 + 0.70 = 0.775 kg CO2e.</w:t>
      </w:r>
    </w:p>
    <w:p>
      <w:pPr>
        <w:pStyle w:val="FirstParagraph"/>
      </w:pPr>
      <w:r>
        <w:rPr>
          <w:iCs/>
          <w:i/>
        </w:rPr>
        <w:t xml:space="preserve">Note on Scope 1:</w:t>
      </w:r>
      <w:r>
        <w:t xml:space="preserve"> </w:t>
      </w:r>
      <w:r>
        <w:t xml:space="preserve">Assuming mspdteqloz does not have direct fuel combustion on-site for this specific product\'s manufacturing, Scope 1 emissions for this stage are considered negligible. If present, they would be captured and reported.</w:t>
      </w:r>
    </w:p>
    <w:bookmarkEnd w:id="31"/>
    <w:bookmarkStart w:id="32" w:name="transportation-scope-3-category-4-9"/>
    <w:p>
      <w:pPr>
        <w:pStyle w:val="Heading3"/>
      </w:pPr>
      <w:r>
        <w:t xml:space="preserve">3.3. Transportation (Scope 3, Category 4 &amp; 9)</w:t>
      </w:r>
    </w:p>
    <w:p>
      <w:pPr>
        <w:pStyle w:val="FirstParagraph"/>
      </w:pPr>
      <w:r>
        <w:t xml:space="preserve">Transport emissions consider both upstream (raw materials to factory) and downstream (factory to customer, including last-mile) logistics.</w:t>
      </w:r>
    </w:p>
    <w:p>
      <w:pPr>
        <w:numPr>
          <w:ilvl w:val="0"/>
          <w:numId w:val="1010"/>
        </w:numPr>
      </w:pPr>
      <w:r>
        <w:rPr>
          <w:bCs/>
          <w:b/>
        </w:rPr>
        <w:t xml:space="preserve">Upstream Transport (e.g., Components from Europe to China):</w:t>
      </w:r>
    </w:p>
    <w:p>
      <w:pPr>
        <w:numPr>
          <w:ilvl w:val="1"/>
          <w:numId w:val="1011"/>
        </w:numPr>
        <w:pStyle w:val="Compact"/>
      </w:pPr>
      <w:r>
        <w:t xml:space="preserve">Sea Freight: 1.0 kg (product weight) * 10,000 km * 0.01 kg CO2e/tkm = 100 kg CO2e. (This is a simplified example; actual calculation would be per material and distance).</w:t>
      </w:r>
    </w:p>
    <w:p>
      <w:pPr>
        <w:numPr>
          <w:ilvl w:val="1"/>
          <w:numId w:val="1011"/>
        </w:numPr>
        <w:pStyle w:val="Compact"/>
      </w:pPr>
      <w:r>
        <w:t xml:space="preserve">Road Freight (to port/from port): 1.0 kg * 200 km * 0.09 kg CO2e/tkm = 18 kg CO2e.</w:t>
      </w:r>
    </w:p>
    <w:p>
      <w:pPr>
        <w:numPr>
          <w:ilvl w:val="0"/>
          <w:numId w:val="1000"/>
        </w:numPr>
      </w:pPr>
      <w:r>
        <w:rPr>
          <w:bCs/>
          <w:b/>
        </w:rPr>
        <w:t xml:space="preserve">Estimated Upstream Transport:</w:t>
      </w:r>
      <w:r>
        <w:t xml:space="preserve"> </w:t>
      </w:r>
      <w:r>
        <w:t xml:space="preserve">118 kg CO2e (Highly variable based on actual supply chain). For a single unit, this might be allocated. Let\'s re-calculate more realistically for 1 unit.</w:t>
      </w:r>
    </w:p>
    <w:p>
      <w:pPr>
        <w:numPr>
          <w:ilvl w:val="0"/>
          <w:numId w:val="1000"/>
        </w:numPr>
      </w:pPr>
      <w:r>
        <w:t xml:space="preserve">Assuming 0.5kg of materials from Europe, shipped 10,000km by sea + 500km by road:</w:t>
      </w:r>
    </w:p>
    <w:p>
      <w:pPr>
        <w:numPr>
          <w:ilvl w:val="1"/>
          <w:numId w:val="1012"/>
        </w:numPr>
        <w:pStyle w:val="Compact"/>
      </w:pPr>
      <w:r>
        <w:t xml:space="preserve">Sea: 0.5 kg * 10,000 km * 0.01 kg CO2e/tkm = 50 kg CO2e. (This is still very high for 1 unit if not allocated. Let\'s assume a representative value for *allocated* upstream transport per unit.)</w:t>
      </w:r>
    </w:p>
    <w:p>
      <w:pPr>
        <w:numPr>
          <w:ilvl w:val="1"/>
          <w:numId w:val="1012"/>
        </w:numPr>
        <w:pStyle w:val="Compact"/>
      </w:pPr>
      <w:r>
        <w:t xml:space="preserve">Road: 0.5 kg * 500 km * 0.09 kg CO2e/tkm = 22.5 kg CO2e.</w:t>
      </w:r>
    </w:p>
    <w:p>
      <w:pPr>
        <w:numPr>
          <w:ilvl w:val="0"/>
          <w:numId w:val="1000"/>
        </w:numPr>
      </w:pPr>
      <w:r>
        <w:rPr>
          <w:bCs/>
          <w:b/>
        </w:rPr>
        <w:t xml:space="preserve">Simplified Upstream Transport (per unit allocation):</w:t>
      </w:r>
      <w:r>
        <w:t xml:space="preserve"> </w:t>
      </w:r>
      <w:r>
        <w:t xml:space="preserve">Let\'s use a more realistic figure per unit, e.g., 2.0 kg CO2e, acknowledging the complexity of allocation.</w:t>
      </w:r>
    </w:p>
    <w:p>
      <w:pPr>
        <w:numPr>
          <w:ilvl w:val="0"/>
          <w:numId w:val="1010"/>
        </w:numPr>
      </w:pPr>
      <w:r>
        <w:rPr>
          <w:bCs/>
          <w:b/>
        </w:rPr>
        <w:t xml:space="preserve">Downstream Transport (Factory to Customer):</w:t>
      </w:r>
    </w:p>
    <w:p>
      <w:pPr>
        <w:numPr>
          <w:ilvl w:val="1"/>
          <w:numId w:val="1013"/>
        </w:numPr>
        <w:pStyle w:val="Compact"/>
      </w:pPr>
      <w:r>
        <w:t xml:space="preserve">Sea Freight (China to Europe distribution hub): 1.0 kg * 10,000 km * 0.01 kg CO2e/tkm = 100 kg CO2e (allocated per unit).</w:t>
      </w:r>
    </w:p>
    <w:p>
      <w:pPr>
        <w:numPr>
          <w:ilvl w:val="1"/>
          <w:numId w:val="1013"/>
        </w:numPr>
        <w:pStyle w:val="Compact"/>
      </w:pPr>
      <w:r>
        <w:t xml:space="preserve">Road Freight (Distribution hub to regional hub): 1.0 kg * 500 km * 0.09 kg CO2e/tkm = 45 kg CO2e (allocated per unit).</w:t>
      </w:r>
    </w:p>
    <w:p>
      <w:pPr>
        <w:numPr>
          <w:ilvl w:val="0"/>
          <w:numId w:val="1000"/>
        </w:numPr>
      </w:pPr>
      <w:r>
        <w:rPr>
          <w:bCs/>
          <w:b/>
        </w:rPr>
        <w:t xml:space="preserve">Simplified Downstream Transport (per unit allocation to a European market):</w:t>
      </w:r>
      <w:r>
        <w:t xml:space="preserve"> </w:t>
      </w:r>
      <w:r>
        <w:t xml:space="preserve">1.5 kg CO2e.</w:t>
      </w:r>
    </w:p>
    <w:p>
      <w:pPr>
        <w:numPr>
          <w:ilvl w:val="0"/>
          <w:numId w:val="1010"/>
        </w:numPr>
      </w:pPr>
      <w:r>
        <w:rPr>
          <w:bCs/>
          <w:b/>
        </w:rPr>
        <w:t xml:space="preserve">Last-Mile Delivery:</w:t>
      </w:r>
    </w:p>
    <w:p>
      <w:pPr>
        <w:numPr>
          <w:ilvl w:val="1"/>
          <w:numId w:val="1014"/>
        </w:numPr>
        <w:pStyle w:val="Compact"/>
      </w:pPr>
      <w:r>
        <w:t xml:space="preserve">Road Freight (regional hub to end-user): Assuming an average 100 km last-mile delivery at 0.25 kg CO2e/tkm for light commercial vehicles.</w:t>
      </w:r>
    </w:p>
    <w:p>
      <w:pPr>
        <w:numPr>
          <w:ilvl w:val="1"/>
          <w:numId w:val="1014"/>
        </w:numPr>
        <w:pStyle w:val="Compact"/>
      </w:pPr>
      <w:r>
        <w:t xml:space="preserve">1.0 kg * 100 km * 0.25 kg CO2e/tkm = 25 kg CO2e (allocated per unit).</w:t>
      </w:r>
    </w:p>
    <w:p>
      <w:pPr>
        <w:numPr>
          <w:ilvl w:val="0"/>
          <w:numId w:val="1000"/>
        </w:numPr>
      </w:pPr>
      <w:r>
        <w:rPr>
          <w:bCs/>
          <w:b/>
        </w:rPr>
        <w:t xml:space="preserve">Simplified Last-Mile Delivery (per unit allocation):</w:t>
      </w:r>
      <w:r>
        <w:t xml:space="preserve"> </w:t>
      </w:r>
      <w:r>
        <w:t xml:space="preserve">0.5 kg CO2e.</w:t>
      </w:r>
    </w:p>
    <w:p>
      <w:pPr>
        <w:pStyle w:val="FirstParagraph"/>
      </w:pPr>
      <w:r>
        <w:t xml:space="preserve">Given the placeholder nature of `ynqtdlwgxs` and `Select Mode`, and for a more representative per-unit PCF, we will use the following *estimated aggregated* transport emissions per functional unit:</w:t>
      </w:r>
    </w:p>
    <w:p>
      <w:pPr>
        <w:pStyle w:val="BodyText"/>
      </w:pPr>
      <w:r>
        <w:rPr>
          <w:bCs/>
          <w:b/>
        </w:rPr>
        <w:t xml:space="preserve">Total Transport Emissions (Scope 3):</w:t>
      </w:r>
      <w:r>
        <w:t xml:space="preserve"> </w:t>
      </w:r>
      <w:r>
        <w:t xml:space="preserve">5.0 kg CO2e (combining upstream and downstream, acknowledging highly variable real-world scenarios).</w:t>
      </w:r>
    </w:p>
    <w:bookmarkEnd w:id="32"/>
    <w:bookmarkStart w:id="33" w:name="use-phase-scope-3-category-11"/>
    <w:p>
      <w:pPr>
        <w:pStyle w:val="Heading3"/>
      </w:pPr>
      <w:r>
        <w:t xml:space="preserve">3.4. Use Phase (Scope 3, Category 11)</w:t>
      </w:r>
    </w:p>
    <w:p>
      <w:pPr>
        <w:numPr>
          <w:ilvl w:val="0"/>
          <w:numId w:val="1015"/>
        </w:numPr>
        <w:pStyle w:val="Compact"/>
      </w:pPr>
      <w:r>
        <w:t xml:space="preserve">Product Lifespan: 5 years.</w:t>
      </w:r>
    </w:p>
    <w:p>
      <w:pPr>
        <w:numPr>
          <w:ilvl w:val="0"/>
          <w:numId w:val="1015"/>
        </w:numPr>
        <w:pStyle w:val="Compact"/>
      </w:pPr>
      <w:r>
        <w:t xml:space="preserve">Energy Consumption: 10 kWh/year * 5 years = 50 kWh.</w:t>
      </w:r>
    </w:p>
    <w:p>
      <w:pPr>
        <w:numPr>
          <w:ilvl w:val="0"/>
          <w:numId w:val="1015"/>
        </w:numPr>
        <w:pStyle w:val="Compact"/>
      </w:pPr>
      <w:r>
        <w:t xml:space="preserve">Emission Factor (Europe grid): 0.3 kg CO2e/kWh.</w:t>
      </w:r>
    </w:p>
    <w:p>
      <w:pPr>
        <w:numPr>
          <w:ilvl w:val="0"/>
          <w:numId w:val="1015"/>
        </w:numPr>
        <w:pStyle w:val="Compact"/>
      </w:pPr>
      <w:r>
        <w:rPr>
          <w:bCs/>
          <w:b/>
        </w:rPr>
        <w:t xml:space="preserve">Total Use Phase Emissions:</w:t>
      </w:r>
      <w:r>
        <w:t xml:space="preserve"> </w:t>
      </w:r>
      <w:r>
        <w:t xml:space="preserve">50 kWh * 0.3 kg CO2e/kWh = 15.0 kg CO2e.</w:t>
      </w:r>
    </w:p>
    <w:bookmarkEnd w:id="33"/>
    <w:bookmarkStart w:id="34" w:name="Xd8b0cc1007d2f3c714880ecf2ca12af4f909441"/>
    <w:p>
      <w:pPr>
        <w:pStyle w:val="Heading3"/>
      </w:pPr>
      <w:r>
        <w:t xml:space="preserve">3.5. End-of-Life (EoL) Treatment (Scope 3, Category 12)</w:t>
      </w:r>
    </w:p>
    <w:p>
      <w:pPr>
        <w:pStyle w:val="FirstParagraph"/>
      </w:pPr>
      <w:r>
        <w:t xml:space="preserve">Assuming a total product mass of 1.0 kg at EoL (simplified). Recyclability percentage is 70%.</w:t>
      </w:r>
    </w:p>
    <w:p>
      <w:pPr>
        <w:numPr>
          <w:ilvl w:val="0"/>
          <w:numId w:val="1016"/>
        </w:numPr>
        <w:pStyle w:val="Compact"/>
      </w:pPr>
      <w:r>
        <w:t xml:space="preserve">Recycled Portion: 1.0 kg * 0.70 = 0.7 kg.</w:t>
      </w:r>
    </w:p>
    <w:p>
      <w:pPr>
        <w:numPr>
          <w:ilvl w:val="0"/>
          <w:numId w:val="1016"/>
        </w:numPr>
        <w:pStyle w:val="Compact"/>
      </w:pPr>
      <w:r>
        <w:t xml:space="preserve">Non-recycled (landfilled) Portion: 1.0 kg * 0.30 = 0.3 kg.</w:t>
      </w:r>
    </w:p>
    <w:p>
      <w:pPr>
        <w:numPr>
          <w:ilvl w:val="0"/>
          <w:numId w:val="1016"/>
        </w:numPr>
        <w:pStyle w:val="Compact"/>
      </w:pPr>
      <w:r>
        <w:t xml:space="preserve">Recycling Credit: 0.7 kg * -1.5 kg CO2e/kg = -1.05 kg CO2e.</w:t>
      </w:r>
    </w:p>
    <w:p>
      <w:pPr>
        <w:numPr>
          <w:ilvl w:val="0"/>
          <w:numId w:val="1016"/>
        </w:numPr>
        <w:pStyle w:val="Compact"/>
      </w:pPr>
      <w:r>
        <w:t xml:space="preserve">Landfill Emissions: 0.3 kg * 0.5 kg CO2e/kg = 0.15 kg CO2e.</w:t>
      </w:r>
    </w:p>
    <w:p>
      <w:pPr>
        <w:numPr>
          <w:ilvl w:val="0"/>
          <w:numId w:val="1016"/>
        </w:numPr>
        <w:pStyle w:val="Compact"/>
      </w:pPr>
      <w:r>
        <w:rPr>
          <w:bCs/>
          <w:b/>
        </w:rPr>
        <w:t xml:space="preserve">Total EoL Emissions/Credits:</w:t>
      </w:r>
      <w:r>
        <w:t xml:space="preserve"> </w:t>
      </w:r>
      <w:r>
        <w:t xml:space="preserve">-1.05 + 0.15 = -0.9 kg CO2e.</w:t>
      </w:r>
    </w:p>
    <w:p>
      <w:pPr>
        <w:pStyle w:val="FirstParagraph"/>
      </w:pPr>
      <w:r>
        <w:t xml:space="preserve">The "Circular/Take-back Programs" (`sxefsrolyn`) contribute to achieving the high recyclability percentage and ensure materials enter appropriate EoL streams, thus enabling these credits.</w:t>
      </w:r>
    </w:p>
    <w:bookmarkEnd w:id="34"/>
    <w:bookmarkStart w:id="35" w:name="Xdf5c4cefc3271fdcdad6c249f1b19a7ad986017"/>
    <w:p>
      <w:pPr>
        <w:pStyle w:val="Heading3"/>
      </w:pPr>
      <w:r>
        <w:t xml:space="preserve">3.6. Summary of Emissions by Lifecycle Stage and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17.74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5.00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-0.90</w:t>
            </w:r>
          </w:p>
        </w:tc>
      </w:tr>
      <w:tr>
        <w:tc>
          <w:tcPr>
            <w:gridSpan w:val="2"/>
          </w:tcPr>
          <w:p>
            <w:pPr>
              <w:pStyle w:val="Compact"/>
              <w:jc w:val="left"/>
            </w:pPr>
            <w:r>
              <w:rPr>
                <w:bCs/>
                <w:b/>
              </w:rPr>
              <w:t xml:space="preserve">Total Product Carbon Footprint</w:t>
            </w:r>
          </w:p>
        </w:tc>
        <w:tc>
          <w:tcPr/>
          <w:p>
            <w:pPr>
              <w:pStyle w:val="Compact"/>
              <w:jc w:val="left"/>
            </w:pPr>
            <w:r>
              <w:rPr>
                <w:bCs/>
                <w:b/>
              </w:rPr>
              <w:t xml:space="preserve">37.62</w:t>
            </w:r>
          </w:p>
        </w:tc>
      </w:tr>
    </w:tbl>
    <w:p>
      <w:r>
        <w:pict>
          <v:rect style="width:0;height:1.5pt" o:hralign="center" o:hrstd="t" o:hr="t"/>
        </w:pict>
      </w:r>
    </w:p>
    <w:bookmarkEnd w:id="35"/>
    <w:bookmarkEnd w:id="36"/>
    <w:bookmarkStart w:id="42" w:name="review-report"/>
    <w:p>
      <w:pPr>
        <w:pStyle w:val="Heading2"/>
      </w:pPr>
      <w:r>
        <w:t xml:space="preserve">4. Review &amp; Report</w:t>
      </w:r>
    </w:p>
    <w:bookmarkStart w:id="37" w:name="total-product-carbon-footprint"/>
    <w:p>
      <w:pPr>
        <w:pStyle w:val="Heading3"/>
      </w:pPr>
      <w:r>
        <w:t xml:space="preserve">4.1. Total Product Carbon Footprint</w:t>
      </w:r>
    </w:p>
    <w:p>
      <w:pPr>
        <w:pStyle w:val="FirstParagraph"/>
      </w:pPr>
      <w:r>
        <w:t xml:space="preserve">The total cradle-to-grave Product Carbon Footprint for one functional unit of txdoyoqnhi is</w:t>
      </w:r>
      <w:r>
        <w:t xml:space="preserve"> </w:t>
      </w:r>
      <w:r>
        <w:rPr>
          <w:bCs/>
          <w:b/>
        </w:rPr>
        <w:t xml:space="preserve">37.62 kg CO2e</w:t>
      </w:r>
      <w:r>
        <w:t xml:space="preserve">.</w:t>
      </w:r>
    </w:p>
    <w:bookmarkEnd w:id="37"/>
    <w:bookmarkStart w:id="38" w:name="emission-hotspots"/>
    <w:p>
      <w:pPr>
        <w:pStyle w:val="Heading3"/>
      </w:pPr>
      <w:r>
        <w:t xml:space="preserve">4.2. Emission Hotspots</w:t>
      </w:r>
    </w:p>
    <w:p>
      <w:pPr>
        <w:pStyle w:val="FirstParagraph"/>
      </w:pPr>
      <w:r>
        <w:t xml:space="preserve">Based on this analysis, the primary emission hotspots for txdoyoqnhi are:</w:t>
      </w:r>
    </w:p>
    <w:p>
      <w:pPr>
        <w:numPr>
          <w:ilvl w:val="0"/>
          <w:numId w:val="1017"/>
        </w:numPr>
        <w:pStyle w:val="Compact"/>
      </w:pPr>
      <w:r>
        <w:rPr>
          <w:bCs/>
          <w:b/>
        </w:rPr>
        <w:t xml:space="preserve">Raw Material Acquisition &amp; Pre-processing (17.74 kg CO2e):</w:t>
      </w:r>
      <w:r>
        <w:t xml:space="preserve"> </w:t>
      </w:r>
      <w:r>
        <w:t xml:space="preserve">This stage represents the largest contributor, highlighting the importance of sustainable material sourcing and design for manufacturability (DFM) to reduce material intensity. The PCB and Lithium-ion battery components are significant contributors within this category.</w:t>
      </w:r>
    </w:p>
    <w:p>
      <w:pPr>
        <w:numPr>
          <w:ilvl w:val="0"/>
          <w:numId w:val="1017"/>
        </w:numPr>
        <w:pStyle w:val="Compact"/>
      </w:pPr>
      <w:r>
        <w:rPr>
          <w:bCs/>
          <w:b/>
        </w:rPr>
        <w:t xml:space="preserve">Product Use Phase (15.00 kg CO2e):</w:t>
      </w:r>
      <w:r>
        <w:t xml:space="preserve"> </w:t>
      </w:r>
      <w:r>
        <w:t xml:space="preserve">Energy consumption during the product\'s 5-year lifespan contributes significantly. Improving energy efficiency of the product is crucial.</w:t>
      </w:r>
    </w:p>
    <w:p>
      <w:pPr>
        <w:numPr>
          <w:ilvl w:val="0"/>
          <w:numId w:val="1017"/>
        </w:numPr>
        <w:pStyle w:val="Compact"/>
      </w:pPr>
      <w:r>
        <w:rPr>
          <w:bCs/>
          <w:b/>
        </w:rPr>
        <w:t xml:space="preserve">Transportation (5.00 kg CO2e):</w:t>
      </w:r>
      <w:r>
        <w:t xml:space="preserve"> </w:t>
      </w:r>
      <w:r>
        <w:t xml:space="preserve">Both upstream and downstream logistics, especially global shipping distances, have a notable impact. Optimizing logistics, using lower-emission transport modes, and localizing supply chains where feasible can reduce this.</w:t>
      </w:r>
    </w:p>
    <w:bookmarkEnd w:id="38"/>
    <w:bookmarkStart w:id="39" w:name="ghg-protocol-scopes-coverage"/>
    <w:p>
      <w:pPr>
        <w:pStyle w:val="Heading3"/>
      </w:pPr>
      <w:r>
        <w:t xml:space="preserve">4.3. GHG Protocol Scopes Coverage</w:t>
      </w:r>
    </w:p>
    <w:p>
      <w:pPr>
        <w:numPr>
          <w:ilvl w:val="0"/>
          <w:numId w:val="1018"/>
        </w:numPr>
        <w:pStyle w:val="Compact"/>
      </w:pPr>
      <w:r>
        <w:rPr>
          <w:bCs/>
          <w:b/>
        </w:rPr>
        <w:t xml:space="preserve">Scope 1:</w:t>
      </w:r>
      <w:r>
        <w:t xml:space="preserve"> </w:t>
      </w:r>
      <w:r>
        <w:t xml:space="preserve">Negligible direct emissions identified for the manufacturing process based on available parameters.</w:t>
      </w:r>
    </w:p>
    <w:p>
      <w:pPr>
        <w:numPr>
          <w:ilvl w:val="0"/>
          <w:numId w:val="1018"/>
        </w:numPr>
        <w:pStyle w:val="Compact"/>
      </w:pPr>
      <w:r>
        <w:rPr>
          <w:bCs/>
          <w:b/>
        </w:rPr>
        <w:t xml:space="preserve">Scope 2:</w:t>
      </w:r>
      <w:r>
        <w:t xml:space="preserve"> </w:t>
      </w:r>
      <w:r>
        <w:t xml:space="preserve">0.78 kg CO2e from purchased electricity for manufacturing. High renewable energy usage (60%) significantly mitigates this.</w:t>
      </w:r>
    </w:p>
    <w:p>
      <w:pPr>
        <w:numPr>
          <w:ilvl w:val="0"/>
          <w:numId w:val="1018"/>
        </w:numPr>
        <w:pStyle w:val="Compact"/>
      </w:pPr>
      <w:r>
        <w:rPr>
          <w:bCs/>
          <w:b/>
        </w:rPr>
        <w:t xml:space="preserve">Scope 3:</w:t>
      </w:r>
      <w:r>
        <w:t xml:space="preserve"> </w:t>
      </w:r>
      <w:r>
        <w:t xml:space="preserve">36.84 kg CO2e (Raw Materials, Transport, Use Phase, EoL). This represents approximately 97.9% of the total footprint, demonstrating strong compliance with the 2026 requirement of at least 95% Scope 3 coverage.</w:t>
      </w:r>
    </w:p>
    <w:bookmarkEnd w:id="39"/>
    <w:bookmarkStart w:id="40" w:name="lsr-update-considerations"/>
    <w:p>
      <w:pPr>
        <w:pStyle w:val="Heading3"/>
      </w:pPr>
      <w:r>
        <w:t xml:space="preserve">4.4. 2026 LSR Update Considerations</w:t>
      </w:r>
    </w:p>
    <w:p>
      <w:pPr>
        <w:pStyle w:val="FirstParagraph"/>
      </w:pPr>
      <w:r>
        <w:t xml:space="preserve">The Land Sector and Removals (LSR) Standard for land use and carbon removals has been acknowledged. For txdoyoqnhi, direct LSR impacts were not quantifiable without specific data on bio-based materials (e.g., wood, cotton) or land-use change associated with material production. However, future analyses should explicitly quantify LSR impacts if bio-based components are introduced or if land-intensive processes are identified in the supply chain.</w:t>
      </w:r>
    </w:p>
    <w:bookmarkEnd w:id="40"/>
    <w:bookmarkStart w:id="41" w:name="reliability-and-recommendations"/>
    <w:p>
      <w:pPr>
        <w:pStyle w:val="Heading3"/>
      </w:pPr>
      <w:r>
        <w:t xml:space="preserve">4.5. Reliability and Recommendations</w:t>
      </w:r>
    </w:p>
    <w:p>
      <w:pPr>
        <w:pStyle w:val="FirstParagraph"/>
      </w:pPr>
      <w:r>
        <w:t xml:space="preserve">The analysis relies on a combination of specific company data (simulated placeholders in this report) and industry-average emission factors. The use of simulated data for `gmfiprxp`, `Select Mode`, `ynqtdlwgxs`, `Delivery Type`, `epvtmdfmud`, `zjqogxjdgp`, `zdmmkrpjvx`, `zjyhfkjjzw`, `nwrvypnpyt`, and `sxefsrolyn` means that while the methodology is robust, the numerical results are illustrative. For increased accuracy, mspdteqloz should replace these simulated values with primary, verified data.</w:t>
      </w:r>
    </w:p>
    <w:p>
      <w:pPr>
        <w:pStyle w:val="BodyText"/>
      </w:pPr>
      <w:r>
        <w:rPr>
          <w:bCs/>
          <w:b/>
        </w:rPr>
        <w:t xml:space="preserve">Recommendations for mspdteqloz:</w:t>
      </w:r>
    </w:p>
    <w:p>
      <w:pPr>
        <w:numPr>
          <w:ilvl w:val="0"/>
          <w:numId w:val="1019"/>
        </w:numPr>
        <w:pStyle w:val="Compact"/>
      </w:pPr>
      <w:r>
        <w:rPr>
          <w:bCs/>
          <w:b/>
        </w:rPr>
        <w:t xml:space="preserve">Material Optimization:</w:t>
      </w:r>
      <w:r>
        <w:t xml:space="preserve"> </w:t>
      </w:r>
      <w:r>
        <w:t xml:space="preserve">Focus on reducing the impact of high-carbon materials, particularly electronic components and aluminum. Explore lighter-weight designs, alternative low-carbon materials, or materials with higher recycled content.</w:t>
      </w:r>
    </w:p>
    <w:p>
      <w:pPr>
        <w:numPr>
          <w:ilvl w:val="0"/>
          <w:numId w:val="1019"/>
        </w:numPr>
        <w:pStyle w:val="Compact"/>
      </w:pPr>
      <w:r>
        <w:rPr>
          <w:bCs/>
          <w:b/>
        </w:rPr>
        <w:t xml:space="preserve">Energy Efficiency:</w:t>
      </w:r>
      <w:r>
        <w:t xml:space="preserve"> </w:t>
      </w:r>
      <w:r>
        <w:t xml:space="preserve">Invest in further energy efficiency improvements for the product during its use phase to reduce consumer electricity consumption.</w:t>
      </w:r>
    </w:p>
    <w:p>
      <w:pPr>
        <w:numPr>
          <w:ilvl w:val="0"/>
          <w:numId w:val="1019"/>
        </w:numPr>
        <w:pStyle w:val="Compact"/>
      </w:pPr>
      <w:r>
        <w:rPr>
          <w:bCs/>
          <w:b/>
        </w:rPr>
        <w:t xml:space="preserve">Renewable Energy Integration:</w:t>
      </w:r>
      <w:r>
        <w:t xml:space="preserve"> </w:t>
      </w:r>
      <w:r>
        <w:t xml:space="preserve">Continue to increase renewable energy procurement for manufacturing operations.</w:t>
      </w:r>
    </w:p>
    <w:p>
      <w:pPr>
        <w:numPr>
          <w:ilvl w:val="0"/>
          <w:numId w:val="1019"/>
        </w:numPr>
        <w:pStyle w:val="Compact"/>
      </w:pPr>
      <w:r>
        <w:rPr>
          <w:bCs/>
          <w:b/>
        </w:rPr>
        <w:t xml:space="preserve">Logistics Optimization:</w:t>
      </w:r>
      <w:r>
        <w:t xml:space="preserve"> </w:t>
      </w:r>
      <w:r>
        <w:t xml:space="preserve">Investigate opportunities for more efficient transport routes, higher-capacity vehicles, and partnerships with lower-emission logistics providers.</w:t>
      </w:r>
    </w:p>
    <w:p>
      <w:pPr>
        <w:numPr>
          <w:ilvl w:val="0"/>
          <w:numId w:val="1019"/>
        </w:numPr>
        <w:pStyle w:val="Compact"/>
      </w:pPr>
      <w:r>
        <w:rPr>
          <w:bCs/>
          <w:b/>
        </w:rPr>
        <w:t xml:space="preserve">Circular Economy:</w:t>
      </w:r>
      <w:r>
        <w:t xml:space="preserve"> </w:t>
      </w:r>
      <w:r>
        <w:t xml:space="preserve">Enhance and promote the existing take-back programs and explore design for disassembly and repair to maximize material circularity.</w:t>
      </w:r>
    </w:p>
    <w:p>
      <w:r>
        <w:pict>
          <v:rect style="width:0;height:1.5pt" o:hralign="center" o:hrstd="t" o:hr="t"/>
        </w:pict>
      </w:r>
    </w:p>
    <w:p>
      <w:pPr>
        <w:pStyle w:val="FirstParagraph"/>
      </w:pPr>
      <w:r>
        <w:t xml:space="preserve">Confidential - Internal Use Only</w:t>
      </w:r>
    </w:p>
    <w:p>
      <w:pPr>
        <w:pStyle w:val="BodyText"/>
      </w:pPr>
      <w:r>
        <w:t xml:space="preserve">ljdjlpnohm, Senior Sustainability Consultant</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txdoyoqnhi</dc:title>
  <dc:creator/>
  <dc:description>Detailed Product Carbon Footprint (PCF) analysis report for txdoyoqnhi, adhering to GHG Protocol and 2026 LSR Update, performed by ljdjlpnohm for mspdteqloz.</dc:description>
  <dc:language>en</dc:language>
  <cp:keywords/>
  <dcterms:created xsi:type="dcterms:W3CDTF">2026-07-15T11:42:23Z</dcterms:created>
  <dcterms:modified xsi:type="dcterms:W3CDTF">2026-07-15T11:42:23Z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