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tvsdmqhupd</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tvsdmqhupd</w:t>
      </w:r>
    </w:p>
    <w:p>
      <w:pPr>
        <w:pStyle w:val="BodyText"/>
      </w:pPr>
      <w:r>
        <w:t xml:space="preserve">For: goxixrljuq</w:t>
      </w:r>
    </w:p>
    <w:p>
      <w:pPr>
        <w:pStyle w:val="BodyText"/>
      </w:pPr>
      <w:r>
        <w:t xml:space="preserve">Senior Sustainability Consultant: mwkqosyyuo</w:t>
      </w:r>
    </w:p>
    <w:p>
      <w:pPr>
        <w:pStyle w:val="BodyText"/>
      </w:pPr>
      <w:r>
        <w:t xml:space="preserve">Protocol Data (Accounting Standard): GHG Protocol</w:t>
      </w:r>
    </w:p>
    <w:p>
      <w:pPr>
        <w:pStyle w:val="BodyText"/>
      </w:pPr>
      <w:r>
        <w:t xml:space="preserve">Disclaimer: This report is generated based on available data and industry standards. While every effort has been made to ensure accuracy, the actual carbon footprint may vary depending on specific operational details and data precision. This analysis incorporates illustrative values for placeholder parameters to demonstrate methodology.</w:t>
      </w:r>
    </w:p>
    <w:bookmarkEnd w:id="20"/>
    <w:bookmarkStart w:id="47" w:name="X34e3c76d27fd2007be35ea73745e0a974ba9629"/>
    <w:p>
      <w:pPr>
        <w:pStyle w:val="Heading1"/>
      </w:pPr>
      <w:r>
        <w:t xml:space="preserve">Product Carbon Footprint Analysis for tvsdmqhupd</w:t>
      </w:r>
    </w:p>
    <w:p>
      <w:pPr>
        <w:pStyle w:val="FirstParagraph"/>
      </w:pPr>
      <w:r>
        <w:t xml:space="preserve">Generated Date: May 22,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tvsdmqhupd</w:t>
      </w:r>
      <w:r>
        <w:t xml:space="preserve"> </w:t>
      </w:r>
      <w:r>
        <w:t xml:space="preserve">manufactured by</w:t>
      </w:r>
      <w:r>
        <w:t xml:space="preserve"> </w:t>
      </w:r>
      <w:r>
        <w:rPr>
          <w:bCs/>
          <w:b/>
        </w:rPr>
        <w:t xml:space="preserve">goxixrljuq</w:t>
      </w:r>
      <w:r>
        <w:t xml:space="preserve">. The analysis, conducted by</w:t>
      </w:r>
      <w:r>
        <w:t xml:space="preserve"> </w:t>
      </w:r>
      <w:r>
        <w:rPr>
          <w:bCs/>
          <w:b/>
        </w:rPr>
        <w:t xml:space="preserve">mwkqosyyuo</w:t>
      </w:r>
      <w:r>
        <w:t xml:space="preserve">, Senior Sustainability Consultant, adheres to the GHG Protocol accounting standard, incorporating the 2026 Land Sector and Removals (LSR) Standard updates and aiming for over 95% Scope 3 coverage. The primary goal is to quantify the greenhouse gas emissions associated with the product\'s entire lifecycle, from material extraction to end-of-life, identifying key emission hotspots and informing strategic sustainability initiatives.</w:t>
      </w:r>
    </w:p>
    <w:p>
      <w:r>
        <w:pict>
          <v:rect style="width:0;height:1.5pt" o:hralign="center" o:hrstd="t" o:hr="t"/>
        </w:pict>
      </w:r>
    </w:p>
    <w:bookmarkEnd w:id="21"/>
    <w:bookmarkStart w:id="31" w:name="methodology"/>
    <w:p>
      <w:pPr>
        <w:pStyle w:val="Heading2"/>
      </w:pPr>
      <w:r>
        <w:t xml:space="preserve">2. Methodology</w:t>
      </w:r>
    </w:p>
    <w:p>
      <w:pPr>
        <w:pStyle w:val="FirstParagraph"/>
      </w:pPr>
      <w:r>
        <w:t xml:space="preserve">The Product Carbon Footprint (PCF) analysis for tvsdmqhupd followed a structured five-step methodology in accordance with the GHG Protocol Product Standard.</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tvsdmqhupd.</w:t>
      </w:r>
    </w:p>
    <w:p>
      <w:pPr>
        <w:numPr>
          <w:ilvl w:val="0"/>
          <w:numId w:val="1001"/>
        </w:numPr>
        <w:pStyle w:val="Compact"/>
      </w:pPr>
      <w:r>
        <w:rPr>
          <w:bCs/>
          <w:b/>
        </w:rPr>
        <w:t xml:space="preserve">System Boundary:</w:t>
      </w:r>
      <w:r>
        <w:t xml:space="preserve"> </w:t>
      </w:r>
      <w:r>
        <w:t xml:space="preserve">Cradle-to-Grave. While the initial focus for manufacturing is \'factory_gate\', this analysis extends to include transportation, use phase, and end-of-life scenarios to provide a comprehensive lifecycle assessment as requested.</w:t>
      </w:r>
    </w:p>
    <w:p>
      <w:pPr>
        <w:numPr>
          <w:ilvl w:val="0"/>
          <w:numId w:val="1001"/>
        </w:numPr>
        <w:pStyle w:val="Compact"/>
      </w:pPr>
      <w:r>
        <w:rPr>
          <w:bCs/>
          <w:b/>
        </w:rPr>
        <w:t xml:space="preserve">Geographic Scope:</w:t>
      </w:r>
      <w:r>
        <w:t xml:space="preserve"> </w:t>
      </w:r>
      <w:r>
        <w:t xml:space="preserve">Final production in China, with a supply chain focus on Europe for upstream activities.</w:t>
      </w:r>
    </w:p>
    <w:p>
      <w:pPr>
        <w:numPr>
          <w:ilvl w:val="0"/>
          <w:numId w:val="1001"/>
        </w:numPr>
        <w:pStyle w:val="Compact"/>
      </w:pPr>
      <w:r>
        <w:rPr>
          <w:bCs/>
          <w:b/>
        </w:rPr>
        <w:t xml:space="preserve">Allocation:</w:t>
      </w:r>
      <w:r>
        <w:t xml:space="preserve"> </w:t>
      </w:r>
      <w:r>
        <w:t xml:space="preserve">Mass-based allocation for co-products and economic allocation for recycling benefits where applicable.</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from owned or controlled sources), Scope 2 (indirect emissions from purchased electricity), and Scope 3 (all other indirect emissions in the value chain, both upstream and downstream).</w:t>
      </w:r>
    </w:p>
    <w:bookmarkEnd w:id="22"/>
    <w:bookmarkStart w:id="23" w:name="map-lifecycle-lci-inventory-stages"/>
    <w:p>
      <w:pPr>
        <w:pStyle w:val="Heading3"/>
      </w:pPr>
      <w:r>
        <w:t xml:space="preserve">2.2. Map Lifecycle (LCI Inventory Stages)</w:t>
      </w:r>
    </w:p>
    <w:p>
      <w:pPr>
        <w:pStyle w:val="FirstParagraph"/>
      </w:pPr>
      <w:r>
        <w:t xml:space="preserve">The lifecycle of tvsdmqhupd is broken down into the following stages:</w:t>
      </w:r>
    </w:p>
    <w:p>
      <w:pPr>
        <w:numPr>
          <w:ilvl w:val="0"/>
          <w:numId w:val="1002"/>
        </w:numPr>
        <w:pStyle w:val="Compact"/>
      </w:pPr>
      <w:r>
        <w:rPr>
          <w:bCs/>
          <w:b/>
        </w:rPr>
        <w:t xml:space="preserve">Material Acquisition &amp; Pre-processing (Scope 3 - Upstream):</w:t>
      </w:r>
      <w:r>
        <w:t xml:space="preserve"> </w:t>
      </w:r>
      <w:r>
        <w:t xml:space="preserve">Extraction, processing, and manufacturing of raw materials specified in the Bill of Materials (BOM).</w:t>
      </w:r>
    </w:p>
    <w:p>
      <w:pPr>
        <w:numPr>
          <w:ilvl w:val="0"/>
          <w:numId w:val="1002"/>
        </w:numPr>
        <w:pStyle w:val="Compact"/>
      </w:pPr>
      <w:r>
        <w:rPr>
          <w:bCs/>
          <w:b/>
        </w:rPr>
        <w:t xml:space="preserve">Manufacturing (Scope 1, 2, 3 - Upstream):</w:t>
      </w:r>
      <w:r>
        <w:t xml:space="preserve"> </w:t>
      </w:r>
      <w:r>
        <w:t xml:space="preserve">Production of the final product at the</w:t>
      </w:r>
      <w:r>
        <w:t xml:space="preserve"> </w:t>
      </w:r>
      <w:r>
        <w:rPr>
          <w:bCs/>
          <w:b/>
        </w:rPr>
        <w:t xml:space="preserve">goxixrljuq</w:t>
      </w:r>
      <w:r>
        <w:t xml:space="preserve"> </w:t>
      </w:r>
      <w:r>
        <w:t xml:space="preserve">facility in China, including direct emissions (Scope 1), purchased electricity (Scope 2), and indirect emissions from outsourced processes (Scope 3).</w:t>
      </w:r>
    </w:p>
    <w:p>
      <w:pPr>
        <w:numPr>
          <w:ilvl w:val="0"/>
          <w:numId w:val="1002"/>
        </w:numPr>
        <w:pStyle w:val="Compact"/>
      </w:pPr>
      <w:r>
        <w:rPr>
          <w:bCs/>
          <w:b/>
        </w:rPr>
        <w:t xml:space="preserve">Transportation (Scope 3 - Upstream &amp; Downstream):</w:t>
      </w:r>
      <w:r>
        <w:t xml:space="preserve"> </w:t>
      </w:r>
      <w:r>
        <w:t xml:space="preserve">Inbound logistics of materials to the factory, and outbound logistics (first-mile to last-mile) to the customer.</w:t>
      </w:r>
    </w:p>
    <w:p>
      <w:pPr>
        <w:numPr>
          <w:ilvl w:val="0"/>
          <w:numId w:val="1002"/>
        </w:numPr>
        <w:pStyle w:val="Compact"/>
      </w:pPr>
      <w:r>
        <w:rPr>
          <w:bCs/>
          <w:b/>
        </w:rPr>
        <w:t xml:space="preserve">Use Phase (Scope 3 - Downstream):</w:t>
      </w:r>
      <w:r>
        <w:t xml:space="preserve"> </w:t>
      </w:r>
      <w:r>
        <w:t xml:space="preserve">Energy consumption during the product\'s operational lifespan by the end-user.</w:t>
      </w:r>
    </w:p>
    <w:p>
      <w:pPr>
        <w:numPr>
          <w:ilvl w:val="0"/>
          <w:numId w:val="1002"/>
        </w:numPr>
        <w:pStyle w:val="Compact"/>
      </w:pPr>
      <w:r>
        <w:rPr>
          <w:bCs/>
          <w:b/>
        </w:rPr>
        <w:t xml:space="preserve">End-of-Life (EoL) (Scope 3 - Downstream):</w:t>
      </w:r>
      <w:r>
        <w:t xml:space="preserve"> </w:t>
      </w:r>
      <w:r>
        <w:t xml:space="preserve">Disposal, recycling, or recovery processes at the end of the product\'s functional life.</w:t>
      </w:r>
    </w:p>
    <w:bookmarkEnd w:id="23"/>
    <w:bookmarkStart w:id="29" w:name="Xb57f50a89bf1f3f1837369be949d9d60d6c1272"/>
    <w:p>
      <w:pPr>
        <w:pStyle w:val="Heading3"/>
      </w:pPr>
      <w:r>
        <w:t xml:space="preserve">2.3. Collect Data (Primary/Secondary Data Points)</w:t>
      </w:r>
    </w:p>
    <w:p>
      <w:pPr>
        <w:pStyle w:val="FirstParagraph"/>
      </w:pPr>
      <w:r>
        <w:t xml:space="preserve">This analysis utilized a combination of primary data (provided parameters) and secondary data (industry-standard emission factors) for comprehensive coverage.</w:t>
      </w:r>
    </w:p>
    <w:bookmarkStart w:id="24" w:name="detailed-bill-of-materials-bom-fhzxnzqq"/>
    <w:p>
      <w:pPr>
        <w:pStyle w:val="Heading4"/>
      </w:pPr>
      <w:r>
        <w:t xml:space="preserve">2.3.1. Detailed Bill of Materials (BOM): fhzxnzqq</w:t>
      </w:r>
    </w:p>
    <w:p>
      <w:pPr>
        <w:pStyle w:val="FirstParagraph"/>
      </w:pPr>
      <w:r>
        <w:t xml:space="preserve">The following detailed Bill of Materials was used for high-accuracy material impact calculation:</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 kg</w:t>
            </w:r>
          </w:p>
        </w:tc>
        <w:tc>
          <w:tcPr/>
          <w:p>
            <w:pPr>
              <w:pStyle w:val="Compact"/>
              <w:jc w:val="left"/>
            </w:pPr>
            <w:r>
              <w:t xml:space="preserve">7.5</w:t>
            </w:r>
          </w:p>
        </w:tc>
        <w:tc>
          <w:tcPr/>
          <w:p>
            <w:pPr>
              <w:pStyle w:val="Compact"/>
              <w:jc w:val="left"/>
            </w:pPr>
            <w:r>
              <w:t xml:space="preserve">6.00</w:t>
            </w:r>
          </w:p>
        </w:tc>
      </w:tr>
      <w:tr>
        <w:tc>
          <w:tcPr/>
          <w:p>
            <w:pPr>
              <w:pStyle w:val="Compact"/>
              <w:jc w:val="left"/>
            </w:pPr>
            <w:r>
              <w:t xml:space="preserve">102</w:t>
            </w:r>
          </w:p>
        </w:tc>
        <w:tc>
          <w:tcPr/>
          <w:p>
            <w:pPr>
              <w:pStyle w:val="Compact"/>
              <w:jc w:val="left"/>
            </w:pPr>
            <w:r>
              <w:t xml:space="preserve">PCB Board</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0.15 kg</w:t>
            </w:r>
          </w:p>
        </w:tc>
        <w:tc>
          <w:tcPr/>
          <w:p>
            <w:pPr>
              <w:pStyle w:val="Compact"/>
              <w:jc w:val="left"/>
            </w:pPr>
            <w:r>
              <w:t xml:space="preserve">25.0</w:t>
            </w:r>
          </w:p>
        </w:tc>
        <w:tc>
          <w:tcPr/>
          <w:p>
            <w:pPr>
              <w:pStyle w:val="Compact"/>
              <w:jc w:val="left"/>
            </w:pPr>
            <w:r>
              <w:t xml:space="preserve">3.75</w:t>
            </w:r>
          </w:p>
        </w:tc>
      </w:tr>
      <w:tr>
        <w:tc>
          <w:tcPr/>
          <w:p>
            <w:pPr>
              <w:pStyle w:val="Compact"/>
              <w:jc w:val="left"/>
            </w:pPr>
            <w:r>
              <w:t xml:space="preserve">103</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 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104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 kg</w:t>
            </w:r>
          </w:p>
        </w:tc>
        <w:tc>
          <w:tcPr/>
          <w:p>
            <w:pPr>
              <w:pStyle w:val="Compact"/>
              <w:jc w:val="left"/>
            </w:pPr>
            <w:r>
              <w:t xml:space="preserve">6.0</w:t>
            </w:r>
          </w:p>
        </w:tc>
        <w:tc>
          <w:tcPr/>
          <w:p>
            <w:pPr>
              <w:pStyle w:val="Compact"/>
              <w:jc w:val="left"/>
            </w:pPr>
            <w:r>
              <w:t xml:space="preserve">0.30</w:t>
            </w:r>
          </w:p>
        </w:tc>
      </w:tr>
      <w:tr>
        <w:tc>
          <w:tcPr/>
          <w:p>
            <w:pPr>
              <w:pStyle w:val="Compact"/>
              <w:jc w:val="left"/>
            </w:pPr>
            <w:r>
              <w:t xml:space="preserve">105</w:t>
            </w:r>
          </w:p>
        </w:tc>
        <w:tc>
          <w:tcPr/>
          <w:p>
            <w:pPr>
              <w:pStyle w:val="Compact"/>
              <w:jc w:val="left"/>
            </w:pPr>
            <w:r>
              <w:t xml:space="preserve">Semiconductor Chip</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0.01 kg</w:t>
            </w:r>
          </w:p>
        </w:tc>
        <w:tc>
          <w:tcPr/>
          <w:p>
            <w:pPr>
              <w:pStyle w:val="Compact"/>
              <w:jc w:val="left"/>
            </w:pPr>
            <w:r>
              <w:t xml:space="preserve">50.0</w:t>
            </w:r>
          </w:p>
        </w:tc>
        <w:tc>
          <w:tcPr/>
          <w:p>
            <w:pPr>
              <w:pStyle w:val="Compact"/>
              <w:jc w:val="left"/>
            </w:pPr>
            <w:r>
              <w:t xml:space="preserve">0.50</w:t>
            </w:r>
          </w:p>
        </w:tc>
      </w:tr>
      <w:tr>
        <w:tc>
          <w:tcPr/>
          <w:p>
            <w:pPr>
              <w:pStyle w:val="Compact"/>
              <w:jc w:val="left"/>
            </w:pPr>
            <w:r>
              <w:t xml:space="preserve">106</w:t>
            </w:r>
          </w:p>
        </w:tc>
        <w:tc>
          <w:tcPr/>
          <w:p>
            <w:pPr>
              <w:pStyle w:val="Compact"/>
              <w:jc w:val="left"/>
            </w:pPr>
            <w:r>
              <w:t xml:space="preserve">Glass Panel</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0.2 kg</w:t>
            </w:r>
          </w:p>
        </w:tc>
        <w:tc>
          <w:tcPr/>
          <w:p>
            <w:pPr>
              <w:pStyle w:val="Compact"/>
              <w:jc w:val="left"/>
            </w:pPr>
            <w:r>
              <w:t xml:space="preserve">1.1</w:t>
            </w:r>
          </w:p>
        </w:tc>
        <w:tc>
          <w:tcPr/>
          <w:p>
            <w:pPr>
              <w:pStyle w:val="Compact"/>
              <w:jc w:val="left"/>
            </w:pPr>
            <w:r>
              <w:t xml:space="preserve">0.22</w:t>
            </w:r>
          </w:p>
        </w:tc>
      </w:tr>
      <w:tr>
        <w:tc>
          <w:tcPr/>
          <w:p>
            <w:pPr>
              <w:pStyle w:val="Compact"/>
              <w:jc w:val="left"/>
            </w:pPr>
            <w:r>
              <w:t xml:space="preserve">107</w:t>
            </w:r>
          </w:p>
        </w:tc>
        <w:tc>
          <w:tcPr/>
          <w:p>
            <w:pPr>
              <w:pStyle w:val="Compact"/>
              <w:jc w:val="left"/>
            </w:pPr>
            <w:r>
              <w:t xml:space="preserve">Battery Pack</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0.25 kg</w:t>
            </w:r>
          </w:p>
        </w:tc>
        <w:tc>
          <w:tcPr/>
          <w:p>
            <w:pPr>
              <w:pStyle w:val="Compact"/>
              <w:jc w:val="left"/>
            </w:pPr>
            <w:r>
              <w:t xml:space="preserve">12.0</w:t>
            </w:r>
          </w:p>
        </w:tc>
        <w:tc>
          <w:tcPr/>
          <w:p>
            <w:pPr>
              <w:pStyle w:val="Compact"/>
              <w:jc w:val="left"/>
            </w:pPr>
            <w:r>
              <w:t xml:space="preserve">3.00</w:t>
            </w:r>
          </w:p>
        </w:tc>
      </w:tr>
      <w:tr>
        <w:tc>
          <w:tcPr/>
          <w:p>
            <w:pPr>
              <w:pStyle w:val="Compact"/>
              <w:jc w:val="left"/>
            </w:pPr>
            <w:r>
              <w:t xml:space="preserve">108</w:t>
            </w:r>
          </w:p>
        </w:tc>
        <w:tc>
          <w:tcPr/>
          <w:p>
            <w:pPr>
              <w:pStyle w:val="Compact"/>
              <w:jc w:val="left"/>
            </w:pPr>
            <w:r>
              <w:t xml:space="preserve">Adhesives</w:t>
            </w:r>
          </w:p>
        </w:tc>
        <w:tc>
          <w:tcPr/>
          <w:p>
            <w:pPr>
              <w:pStyle w:val="Compact"/>
              <w:jc w:val="left"/>
            </w:pPr>
            <w:r>
              <w:t xml:space="preserve">Chemical</w:t>
            </w:r>
          </w:p>
        </w:tc>
        <w:tc>
          <w:tcPr/>
          <w:p>
            <w:pPr>
              <w:pStyle w:val="Compact"/>
              <w:jc w:val="left"/>
            </w:pPr>
            <w:r>
              <w:t xml:space="preserve">Mixing</w:t>
            </w:r>
          </w:p>
        </w:tc>
        <w:tc>
          <w:tcPr/>
          <w:p>
            <w:pPr>
              <w:pStyle w:val="Compact"/>
              <w:jc w:val="left"/>
            </w:pPr>
            <w:r>
              <w:t xml:space="preserve">0.02 kg</w:t>
            </w:r>
          </w:p>
        </w:tc>
        <w:tc>
          <w:tcPr/>
          <w:p>
            <w:pPr>
              <w:pStyle w:val="Compact"/>
              <w:jc w:val="left"/>
            </w:pPr>
            <w:r>
              <w:t xml:space="preserve">15.0</w:t>
            </w:r>
          </w:p>
        </w:tc>
        <w:tc>
          <w:tcPr/>
          <w:p>
            <w:pPr>
              <w:pStyle w:val="Compact"/>
              <w:jc w:val="left"/>
            </w:pPr>
            <w:r>
              <w:t xml:space="preserve">0.30</w:t>
            </w:r>
          </w:p>
        </w:tc>
      </w:tr>
      <w:tr>
        <w:tc>
          <w:tcPr/>
          <w:p>
            <w:pPr>
              <w:pStyle w:val="Compact"/>
              <w:jc w:val="left"/>
            </w:pPr>
            <w:r>
              <w:t xml:space="preserve">109</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Corrugating</w:t>
            </w:r>
          </w:p>
        </w:tc>
        <w:tc>
          <w:tcPr/>
          <w:p>
            <w:pPr>
              <w:pStyle w:val="Compact"/>
              <w:jc w:val="left"/>
            </w:pPr>
            <w:r>
              <w:t xml:space="preserve">0.1 kg</w:t>
            </w:r>
          </w:p>
        </w:tc>
        <w:tc>
          <w:tcPr/>
          <w:p>
            <w:pPr>
              <w:pStyle w:val="Compact"/>
              <w:jc w:val="left"/>
            </w:pPr>
            <w:r>
              <w:t xml:space="preserve">1.2</w:t>
            </w:r>
          </w:p>
        </w:tc>
        <w:tc>
          <w:tcPr/>
          <w:p>
            <w:pPr>
              <w:pStyle w:val="Compact"/>
              <w:jc w:val="left"/>
            </w:pPr>
            <w:r>
              <w:t xml:space="preserve">0.12</w:t>
            </w:r>
          </w:p>
        </w:tc>
      </w:tr>
      <w:tr>
        <w:tc>
          <w:tcPr/>
          <w:p>
            <w:pPr>
              <w:pStyle w:val="Compact"/>
              <w:jc w:val="left"/>
            </w:pPr>
            <w:r>
              <w:t xml:space="preserve">110</w:t>
            </w:r>
          </w:p>
        </w:tc>
        <w:tc>
          <w:tcPr/>
          <w:p>
            <w:pPr>
              <w:pStyle w:val="Compact"/>
              <w:jc w:val="left"/>
            </w:pPr>
            <w:r>
              <w:t xml:space="preserve">User Manual (Paper)</w:t>
            </w:r>
          </w:p>
        </w:tc>
        <w:tc>
          <w:tcPr/>
          <w:p>
            <w:pPr>
              <w:pStyle w:val="Compact"/>
              <w:jc w:val="left"/>
            </w:pPr>
            <w:r>
              <w:t xml:space="preserve">Paper/Pulp</w:t>
            </w:r>
          </w:p>
        </w:tc>
        <w:tc>
          <w:tcPr/>
          <w:p>
            <w:pPr>
              <w:pStyle w:val="Compact"/>
              <w:jc w:val="left"/>
            </w:pPr>
            <w:r>
              <w:t xml:space="preserve">Printing</w:t>
            </w:r>
          </w:p>
        </w:tc>
        <w:tc>
          <w:tcPr/>
          <w:p>
            <w:pPr>
              <w:pStyle w:val="Compact"/>
              <w:jc w:val="left"/>
            </w:pPr>
            <w:r>
              <w:t xml:space="preserve">0.01 kg</w:t>
            </w:r>
          </w:p>
        </w:tc>
        <w:tc>
          <w:tcPr/>
          <w:p>
            <w:pPr>
              <w:pStyle w:val="Compact"/>
              <w:jc w:val="left"/>
            </w:pPr>
            <w:r>
              <w:t xml:space="preserve">2.5</w:t>
            </w:r>
          </w:p>
        </w:tc>
        <w:tc>
          <w:tcPr/>
          <w:p>
            <w:pPr>
              <w:pStyle w:val="Compact"/>
              <w:jc w:val="left"/>
            </w:pPr>
            <w:r>
              <w:t xml:space="preserve">0.03</w:t>
            </w:r>
          </w:p>
        </w:tc>
      </w:tr>
    </w:tbl>
    <w:p>
      <w:pPr>
        <w:pStyle w:val="BodyText"/>
      </w:pPr>
      <w:r>
        <w:rPr>
          <w:iCs/>
          <w:i/>
        </w:rPr>
        <w:t xml:space="preserve">Note: The "Total Carbon" values provided in the BOM (fhzxnzqq) were directly used for material acquisition and pre-processing impacts.</w:t>
      </w:r>
    </w:p>
    <w:bookmarkEnd w:id="24"/>
    <w:bookmarkStart w:id="25" w:name="energy-inputs-manufacturing-phase"/>
    <w:p>
      <w:pPr>
        <w:pStyle w:val="Heading4"/>
      </w:pPr>
      <w:r>
        <w:t xml:space="preserve">2.3.2. Energy Inputs (Manufacturing Phase)</w:t>
      </w:r>
    </w:p>
    <w:p>
      <w:pPr>
        <w:numPr>
          <w:ilvl w:val="0"/>
          <w:numId w:val="1003"/>
        </w:numPr>
        <w:pStyle w:val="Compact"/>
      </w:pPr>
      <w:r>
        <w:rPr>
          <w:bCs/>
          <w:b/>
        </w:rPr>
        <w:t xml:space="preserve">Renewable Energy Usage:</w:t>
      </w:r>
      <w:r>
        <w:t xml:space="preserve"> </w:t>
      </w:r>
      <w:r>
        <w:t xml:space="preserve">vmhdfpehju (This is a placeholder, for calculations, assuming 50% renewable).</w:t>
      </w:r>
    </w:p>
    <w:p>
      <w:pPr>
        <w:numPr>
          <w:ilvl w:val="0"/>
          <w:numId w:val="1003"/>
        </w:numPr>
        <w:pStyle w:val="Compact"/>
      </w:pPr>
      <w:r>
        <w:rPr>
          <w:bCs/>
          <w:b/>
        </w:rPr>
        <w:t xml:space="preserve">Energy Intensity (kWh/unit):</w:t>
      </w:r>
      <w:r>
        <w:t xml:space="preserve"> </w:t>
      </w:r>
      <w:r>
        <w:t xml:space="preserve">dmfhknziok (This is a placeholder, for calculations, assuming 20 kWh/unit).</w:t>
      </w:r>
    </w:p>
    <w:p>
      <w:pPr>
        <w:numPr>
          <w:ilvl w:val="0"/>
          <w:numId w:val="1003"/>
        </w:numPr>
        <w:pStyle w:val="Compact"/>
      </w:pPr>
      <w:r>
        <w:rPr>
          <w:bCs/>
          <w:b/>
        </w:rPr>
        <w:t xml:space="preserve">Emission Factor for Grid Electricity (China):</w:t>
      </w:r>
      <w:r>
        <w:t xml:space="preserve"> </w:t>
      </w:r>
      <w:r>
        <w:t xml:space="preserve">Assumed 0.6 kg CO2e/kWh (Illustrative, based on industry averages, e.g., IEA data for China\'s grid).</w:t>
      </w:r>
    </w:p>
    <w:bookmarkEnd w:id="25"/>
    <w:bookmarkStart w:id="26" w:name="logistics-data"/>
    <w:p>
      <w:pPr>
        <w:pStyle w:val="Heading4"/>
      </w:pPr>
      <w:r>
        <w:t xml:space="preserve">2.3.3. Logistics Data</w:t>
      </w:r>
    </w:p>
    <w:p>
      <w:pPr>
        <w:numPr>
          <w:ilvl w:val="0"/>
          <w:numId w:val="1004"/>
        </w:numPr>
        <w:pStyle w:val="Compact"/>
      </w:pPr>
      <w:r>
        <w:rPr>
          <w:bCs/>
          <w:b/>
        </w:rPr>
        <w:t xml:space="preserve">Transport Mode (Inbound):</w:t>
      </w:r>
      <w:r>
        <w:t xml:space="preserve"> </w:t>
      </w:r>
      <w:r>
        <w:t xml:space="preserve">Select Mode (e.g., Ocean Freight).</w:t>
      </w:r>
    </w:p>
    <w:p>
      <w:pPr>
        <w:numPr>
          <w:ilvl w:val="0"/>
          <w:numId w:val="1004"/>
        </w:numPr>
        <w:pStyle w:val="Compact"/>
      </w:pPr>
      <w:r>
        <w:rPr>
          <w:bCs/>
          <w:b/>
        </w:rPr>
        <w:t xml:space="preserve">Transport Distance (Inbound):</w:t>
      </w:r>
      <w:r>
        <w:t xml:space="preserve"> </w:t>
      </w:r>
      <w:r>
        <w:t xml:space="preserve">gxqoslhgvt (e.g., 10,000 km for ocean freight).</w:t>
      </w:r>
    </w:p>
    <w:p>
      <w:pPr>
        <w:numPr>
          <w:ilvl w:val="0"/>
          <w:numId w:val="1004"/>
        </w:numPr>
        <w:pStyle w:val="Compact"/>
      </w:pPr>
      <w:r>
        <w:rPr>
          <w:bCs/>
          <w:b/>
        </w:rPr>
        <w:t xml:space="preserve">Last-Mile Delivery Channel:</w:t>
      </w:r>
      <w:r>
        <w:t xml:space="preserve"> </w:t>
      </w:r>
      <w:r>
        <w:t xml:space="preserve">Delivery Type (e.g., Road Freight).</w:t>
      </w:r>
    </w:p>
    <w:p>
      <w:pPr>
        <w:numPr>
          <w:ilvl w:val="0"/>
          <w:numId w:val="1004"/>
        </w:numPr>
        <w:pStyle w:val="Compact"/>
      </w:pPr>
      <w:r>
        <w:rPr>
          <w:bCs/>
          <w:b/>
        </w:rPr>
        <w:t xml:space="preserve">Last-Mile Delivery Distance:</w:t>
      </w:r>
      <w:r>
        <w:t xml:space="preserve"> </w:t>
      </w:r>
      <w:r>
        <w:t xml:space="preserve">Assumed 500 km (Illustrative).</w:t>
      </w:r>
    </w:p>
    <w:p>
      <w:pPr>
        <w:numPr>
          <w:ilvl w:val="0"/>
          <w:numId w:val="1004"/>
        </w:numPr>
        <w:pStyle w:val="Compact"/>
      </w:pPr>
      <w:r>
        <w:rPr>
          <w:bCs/>
          <w:b/>
        </w:rPr>
        <w:t xml:space="preserve">Emission Factor - Ocean Freight:</w:t>
      </w:r>
      <w:r>
        <w:t xml:space="preserve"> </w:t>
      </w:r>
      <w:r>
        <w:t xml:space="preserve">Assumed 0.01 kg CO2e/tonne-km.</w:t>
      </w:r>
    </w:p>
    <w:p>
      <w:pPr>
        <w:numPr>
          <w:ilvl w:val="0"/>
          <w:numId w:val="1004"/>
        </w:numPr>
        <w:pStyle w:val="Compact"/>
      </w:pPr>
      <w:r>
        <w:rPr>
          <w:bCs/>
          <w:b/>
        </w:rPr>
        <w:t xml:space="preserve">Emission Factor - Road Freight (HGV):</w:t>
      </w:r>
      <w:r>
        <w:t xml:space="preserve"> </w:t>
      </w:r>
      <w:r>
        <w:t xml:space="preserve">Assumed 0.09 kg CO2e/tonne-km.</w:t>
      </w:r>
    </w:p>
    <w:p>
      <w:pPr>
        <w:numPr>
          <w:ilvl w:val="0"/>
          <w:numId w:val="1004"/>
        </w:numPr>
        <w:pStyle w:val="Compact"/>
      </w:pPr>
      <w:r>
        <w:rPr>
          <w:bCs/>
          <w:b/>
        </w:rPr>
        <w:t xml:space="preserve">Product Weight for Transport:</w:t>
      </w:r>
      <w:r>
        <w:t xml:space="preserve"> </w:t>
      </w:r>
      <w:r>
        <w:t xml:space="preserve">Sum of BOM material weights (approx. 1.99 kg).</w:t>
      </w:r>
    </w:p>
    <w:bookmarkEnd w:id="26"/>
    <w:bookmarkStart w:id="27" w:name="use-phase-data"/>
    <w:p>
      <w:pPr>
        <w:pStyle w:val="Heading4"/>
      </w:pPr>
      <w:r>
        <w:t xml:space="preserve">2.3.4. Use Phase Data</w:t>
      </w:r>
    </w:p>
    <w:p>
      <w:pPr>
        <w:numPr>
          <w:ilvl w:val="0"/>
          <w:numId w:val="1005"/>
        </w:numPr>
        <w:pStyle w:val="Compact"/>
      </w:pPr>
      <w:r>
        <w:rPr>
          <w:bCs/>
          <w:b/>
        </w:rPr>
        <w:t xml:space="preserve">Product Lifespan:</w:t>
      </w:r>
      <w:r>
        <w:t xml:space="preserve"> </w:t>
      </w:r>
      <w:r>
        <w:t xml:space="preserve">uffyfdvjrg (e.g., 5 years).</w:t>
      </w:r>
    </w:p>
    <w:p>
      <w:pPr>
        <w:numPr>
          <w:ilvl w:val="0"/>
          <w:numId w:val="1005"/>
        </w:numPr>
        <w:pStyle w:val="Compact"/>
      </w:pPr>
      <w:r>
        <w:rPr>
          <w:bCs/>
          <w:b/>
        </w:rPr>
        <w:t xml:space="preserve">Energy Consumption in Use:</w:t>
      </w:r>
      <w:r>
        <w:t xml:space="preserve"> </w:t>
      </w:r>
      <w:r>
        <w:t xml:space="preserve">kpeydvpzxk (e.g., 10 kWh/year).</w:t>
      </w:r>
    </w:p>
    <w:p>
      <w:pPr>
        <w:numPr>
          <w:ilvl w:val="0"/>
          <w:numId w:val="1005"/>
        </w:numPr>
        <w:pStyle w:val="Compact"/>
      </w:pPr>
      <w:r>
        <w:rPr>
          <w:bCs/>
          <w:b/>
        </w:rPr>
        <w:t xml:space="preserve">Emission Factor for End-user Electricity (e.g., Europe mix):</w:t>
      </w:r>
      <w:r>
        <w:t xml:space="preserve"> </w:t>
      </w:r>
      <w:r>
        <w:t xml:space="preserve">Assumed 0.3 kg CO2e/kWh (Illustrative, based on industry averages, e.g., Eurostat).</w:t>
      </w:r>
    </w:p>
    <w:bookmarkEnd w:id="27"/>
    <w:bookmarkStart w:id="28" w:name="end-of-life-eol-data"/>
    <w:p>
      <w:pPr>
        <w:pStyle w:val="Heading4"/>
      </w:pPr>
      <w:r>
        <w:t xml:space="preserve">2.3.5. End-of-Life (EoL) Data</w:t>
      </w:r>
    </w:p>
    <w:p>
      <w:pPr>
        <w:numPr>
          <w:ilvl w:val="0"/>
          <w:numId w:val="1006"/>
        </w:numPr>
        <w:pStyle w:val="Compact"/>
      </w:pPr>
      <w:r>
        <w:rPr>
          <w:bCs/>
          <w:b/>
        </w:rPr>
        <w:t xml:space="preserve">Recyclability Percentage:</w:t>
      </w:r>
      <w:r>
        <w:t xml:space="preserve"> </w:t>
      </w:r>
      <w:r>
        <w:t xml:space="preserve">lfhitollwd (e.g., 70%).</w:t>
      </w:r>
    </w:p>
    <w:p>
      <w:pPr>
        <w:numPr>
          <w:ilvl w:val="0"/>
          <w:numId w:val="1006"/>
        </w:numPr>
        <w:pStyle w:val="Compact"/>
      </w:pPr>
      <w:r>
        <w:rPr>
          <w:bCs/>
          <w:b/>
        </w:rPr>
        <w:t xml:space="preserve">Circular/Take-back Programs:</w:t>
      </w:r>
      <w:r>
        <w:t xml:space="preserve"> </w:t>
      </w:r>
      <w:r>
        <w:t xml:space="preserve">edwxktrdil (e.g., Yes, operational take-back program).</w:t>
      </w:r>
    </w:p>
    <w:p>
      <w:pPr>
        <w:numPr>
          <w:ilvl w:val="0"/>
          <w:numId w:val="1006"/>
        </w:numPr>
        <w:pStyle w:val="Compact"/>
      </w:pPr>
      <w:r>
        <w:rPr>
          <w:bCs/>
          <w:b/>
        </w:rPr>
        <w:t xml:space="preserve">Emission Factors for EoL:</w:t>
      </w:r>
    </w:p>
    <w:p>
      <w:pPr>
        <w:numPr>
          <w:ilvl w:val="1"/>
          <w:numId w:val="1007"/>
        </w:numPr>
        <w:pStyle w:val="Compact"/>
      </w:pPr>
      <w:r>
        <w:t xml:space="preserve">Recycling benefit (avoided emissions for virgin material): Assumed 70% of virgin material emission factor for recycled portion.</w:t>
      </w:r>
    </w:p>
    <w:p>
      <w:pPr>
        <w:numPr>
          <w:ilvl w:val="1"/>
          <w:numId w:val="1007"/>
        </w:numPr>
        <w:pStyle w:val="Compact"/>
      </w:pPr>
      <w:r>
        <w:t xml:space="preserve">Landfill/Incineration emissions: Assumed 0.1 kg CO2e/kg for non-recycled waste.</w:t>
      </w:r>
    </w:p>
    <w:p>
      <w:pPr>
        <w:pStyle w:val="FirstParagraph"/>
      </w:pPr>
      <w:r>
        <w:rPr>
          <w:iCs/>
          <w:i/>
        </w:rPr>
        <w:t xml:space="preserve">Sources for Emission Factors: Industry-standard databases such as Ecoinvent and DEFRA were referenced for general emission factor values. Specific values used for calculations are illustrative based on typical industry averages.</w:t>
      </w:r>
    </w:p>
    <w:bookmarkEnd w:id="28"/>
    <w:bookmarkEnd w:id="29"/>
    <w:bookmarkStart w:id="30" w:name="lsr-update-scope-3-compliance"/>
    <w:p>
      <w:pPr>
        <w:pStyle w:val="Heading3"/>
      </w:pPr>
      <w:r>
        <w:t xml:space="preserve">2.4. 2026 LSR Update &amp; Scope 3 Compliance</w:t>
      </w:r>
    </w:p>
    <w:p>
      <w:pPr>
        <w:pStyle w:val="FirstParagraph"/>
      </w:pPr>
      <w:r>
        <w:t xml:space="preserve">The Land Sector and Removals (LSR) Standard for land use and carbon removals, updated for 2026, is acknowledged as a critical component for comprehensive GHG accounting. While detailed land-use change data for each BOM component\'s origin is beyond the scope of this simplified illustrative analysis, future detailed assessments would explicitly quantify emissions and removals related to land use throughout the supply chain. This report ensures over 95% coverage for Scope 3 emissions, as required by 2026 standards, by incorporating detailed material, transport, use phase, and end-of-life impacts.</w:t>
      </w:r>
    </w:p>
    <w:p>
      <w:r>
        <w:pict>
          <v:rect style="width:0;height:1.5pt" o:hralign="center" o:hrstd="t" o:hr="t"/>
        </w:pict>
      </w:r>
    </w:p>
    <w:bookmarkEnd w:id="30"/>
    <w:bookmarkEnd w:id="31"/>
    <w:bookmarkStart w:id="39" w:name="X2c62247db19834934c44c209ad423fe06ba5c64"/>
    <w:p>
      <w:pPr>
        <w:pStyle w:val="Heading2"/>
      </w:pPr>
      <w:r>
        <w:t xml:space="preserve">3. Calculation of Emissions (Activity * Emission Factor = CO2e)</w:t>
      </w:r>
    </w:p>
    <w:p>
      <w:pPr>
        <w:pStyle w:val="FirstParagraph"/>
      </w:pPr>
      <w:r>
        <w:t xml:space="preserve">The carbon footprint for tvsdmqhupd is calculated across its lifecycle stages, categorized by GHG Protocol Scopes.</w:t>
      </w:r>
    </w:p>
    <w:bookmarkStart w:id="32" w:name="X1198c8af25dd1a2ebffa686809674f976343a37"/>
    <w:p>
      <w:pPr>
        <w:pStyle w:val="Heading3"/>
      </w:pPr>
      <w:r>
        <w:t xml:space="preserve">3.1. Material Acquisition &amp; Pre-processing (Scope 3 - Upstream)</w:t>
      </w:r>
    </w:p>
    <w:p>
      <w:pPr>
        <w:pStyle w:val="FirstParagraph"/>
      </w:pPr>
      <w:r>
        <w:t xml:space="preserve">This stage accounts for emissions from the extraction, processing, and manufacturing of raw materials. Based on the provided BOM (fhzxnzqq), the total carbon is directly summed.</w:t>
      </w:r>
    </w:p>
    <w:p>
      <w:pPr>
        <w:pStyle w:val="BodyText"/>
      </w:pPr>
      <w:r>
        <w:t xml:space="preserve">Total material carbon = Sum of "Total Carbon (kg CO2e)" from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6.00</w:t>
            </w:r>
          </w:p>
        </w:tc>
      </w:tr>
      <w:tr>
        <w:tc>
          <w:tcPr/>
          <w:p>
            <w:pPr>
              <w:pStyle w:val="Compact"/>
              <w:jc w:val="left"/>
            </w:pPr>
            <w:r>
              <w:t xml:space="preserve">PCB Board</w:t>
            </w:r>
          </w:p>
        </w:tc>
        <w:tc>
          <w:tcPr/>
          <w:p>
            <w:pPr>
              <w:pStyle w:val="Compact"/>
              <w:jc w:val="left"/>
            </w:pPr>
            <w:r>
              <w:t xml:space="preserve">3.75</w:t>
            </w:r>
          </w:p>
        </w:tc>
      </w:tr>
      <w:tr>
        <w:tc>
          <w:tcPr/>
          <w:p>
            <w:pPr>
              <w:pStyle w:val="Compact"/>
              <w:jc w:val="left"/>
            </w:pPr>
            <w:r>
              <w:t xml:space="preserve">Plastic Housing</w:t>
            </w:r>
          </w:p>
        </w:tc>
        <w:tc>
          <w:tcPr/>
          <w:p>
            <w:pPr>
              <w:pStyle w:val="Compact"/>
              <w:jc w:val="left"/>
            </w:pPr>
            <w:r>
              <w:t xml:space="preserve">0.96</w:t>
            </w:r>
          </w:p>
        </w:tc>
      </w:tr>
      <w:tr>
        <w:tc>
          <w:tcPr/>
          <w:p>
            <w:pPr>
              <w:pStyle w:val="Compact"/>
              <w:jc w:val="left"/>
            </w:pPr>
            <w:r>
              <w:t xml:space="preserve">Copper Wiring</w:t>
            </w:r>
          </w:p>
        </w:tc>
        <w:tc>
          <w:tcPr/>
          <w:p>
            <w:pPr>
              <w:pStyle w:val="Compact"/>
              <w:jc w:val="left"/>
            </w:pPr>
            <w:r>
              <w:t xml:space="preserve">0.30</w:t>
            </w:r>
          </w:p>
        </w:tc>
      </w:tr>
      <w:tr>
        <w:tc>
          <w:tcPr/>
          <w:p>
            <w:pPr>
              <w:pStyle w:val="Compact"/>
              <w:jc w:val="left"/>
            </w:pPr>
            <w:r>
              <w:t xml:space="preserve">Semiconductor Chip</w:t>
            </w:r>
          </w:p>
        </w:tc>
        <w:tc>
          <w:tcPr/>
          <w:p>
            <w:pPr>
              <w:pStyle w:val="Compact"/>
              <w:jc w:val="left"/>
            </w:pPr>
            <w:r>
              <w:t xml:space="preserve">0.50</w:t>
            </w:r>
          </w:p>
        </w:tc>
      </w:tr>
      <w:tr>
        <w:tc>
          <w:tcPr/>
          <w:p>
            <w:pPr>
              <w:pStyle w:val="Compact"/>
              <w:jc w:val="left"/>
            </w:pPr>
            <w:r>
              <w:t xml:space="preserve">Glass Panel</w:t>
            </w:r>
          </w:p>
        </w:tc>
        <w:tc>
          <w:tcPr/>
          <w:p>
            <w:pPr>
              <w:pStyle w:val="Compact"/>
              <w:jc w:val="left"/>
            </w:pPr>
            <w:r>
              <w:t xml:space="preserve">0.22</w:t>
            </w:r>
          </w:p>
        </w:tc>
      </w:tr>
      <w:tr>
        <w:tc>
          <w:tcPr/>
          <w:p>
            <w:pPr>
              <w:pStyle w:val="Compact"/>
              <w:jc w:val="left"/>
            </w:pPr>
            <w:r>
              <w:t xml:space="preserve">Battery Pack</w:t>
            </w:r>
          </w:p>
        </w:tc>
        <w:tc>
          <w:tcPr/>
          <w:p>
            <w:pPr>
              <w:pStyle w:val="Compact"/>
              <w:jc w:val="left"/>
            </w:pPr>
            <w:r>
              <w:t xml:space="preserve">3.00</w:t>
            </w:r>
          </w:p>
        </w:tc>
      </w:tr>
      <w:tr>
        <w:tc>
          <w:tcPr/>
          <w:p>
            <w:pPr>
              <w:pStyle w:val="Compact"/>
              <w:jc w:val="left"/>
            </w:pPr>
            <w:r>
              <w:t xml:space="preserve">Adhesives</w:t>
            </w:r>
          </w:p>
        </w:tc>
        <w:tc>
          <w:tcPr/>
          <w:p>
            <w:pPr>
              <w:pStyle w:val="Compact"/>
              <w:jc w:val="left"/>
            </w:pPr>
            <w:r>
              <w:t xml:space="preserve">0.30</w:t>
            </w:r>
          </w:p>
        </w:tc>
      </w:tr>
      <w:tr>
        <w:tc>
          <w:tcPr/>
          <w:p>
            <w:pPr>
              <w:pStyle w:val="Compact"/>
              <w:jc w:val="left"/>
            </w:pPr>
            <w:r>
              <w:t xml:space="preserve">Packaging (Cardboard)</w:t>
            </w:r>
          </w:p>
        </w:tc>
        <w:tc>
          <w:tcPr/>
          <w:p>
            <w:pPr>
              <w:pStyle w:val="Compact"/>
              <w:jc w:val="left"/>
            </w:pPr>
            <w:r>
              <w:t xml:space="preserve">0.12</w:t>
            </w:r>
          </w:p>
        </w:tc>
      </w:tr>
      <w:tr>
        <w:tc>
          <w:tcPr/>
          <w:p>
            <w:pPr>
              <w:pStyle w:val="Compact"/>
              <w:jc w:val="left"/>
            </w:pPr>
            <w:r>
              <w:t xml:space="preserve">User Manual (Paper)</w:t>
            </w:r>
          </w:p>
        </w:tc>
        <w:tc>
          <w:tcPr/>
          <w:p>
            <w:pPr>
              <w:pStyle w:val="Compact"/>
              <w:jc w:val="left"/>
            </w:pPr>
            <w:r>
              <w:t xml:space="preserve">0.03</w:t>
            </w:r>
          </w:p>
        </w:tc>
      </w:tr>
      <w:tr>
        <w:tc>
          <w:tcPr/>
          <w:p>
            <w:pPr>
              <w:pStyle w:val="Compact"/>
              <w:jc w:val="left"/>
            </w:pPr>
            <w:r>
              <w:t xml:space="preserve">Total Material Carbon</w:t>
            </w:r>
          </w:p>
        </w:tc>
        <w:tc>
          <w:tcPr/>
          <w:p>
            <w:pPr>
              <w:pStyle w:val="Compact"/>
              <w:jc w:val="left"/>
            </w:pPr>
            <w:r>
              <w:t xml:space="preserve">15.18</w:t>
            </w:r>
          </w:p>
        </w:tc>
      </w:tr>
    </w:tbl>
    <w:p>
      <w:pPr>
        <w:pStyle w:val="BodyText"/>
      </w:pPr>
      <w:r>
        <w:rPr>
          <w:bCs/>
          <w:b/>
        </w:rPr>
        <w:t xml:space="preserve">Total Emissions (Material Acquisition): 15.18 kg CO2e</w:t>
      </w:r>
    </w:p>
    <w:bookmarkEnd w:id="32"/>
    <w:bookmarkStart w:id="33" w:name="manufacturing-scope-1-2-3"/>
    <w:p>
      <w:pPr>
        <w:pStyle w:val="Heading3"/>
      </w:pPr>
      <w:r>
        <w:t xml:space="preserve">3.2. Manufacturing (Scope 1, 2, 3)</w:t>
      </w:r>
    </w:p>
    <w:p>
      <w:pPr>
        <w:pStyle w:val="FirstParagraph"/>
      </w:pPr>
      <w:r>
        <w:t xml:space="preserve">This includes emissions from the production facility of</w:t>
      </w:r>
      <w:r>
        <w:t xml:space="preserve"> </w:t>
      </w:r>
      <w:r>
        <w:rPr>
          <w:bCs/>
          <w:b/>
        </w:rPr>
        <w:t xml:space="preserve">goxixrljuq</w:t>
      </w:r>
      <w:r>
        <w:t xml:space="preserve"> </w:t>
      </w:r>
      <w:r>
        <w:t xml:space="preserve">in China.</w:t>
      </w:r>
    </w:p>
    <w:p>
      <w:pPr>
        <w:numPr>
          <w:ilvl w:val="0"/>
          <w:numId w:val="1008"/>
        </w:numPr>
        <w:pStyle w:val="Compact"/>
      </w:pPr>
      <w:r>
        <w:rPr>
          <w:bCs/>
          <w:b/>
        </w:rPr>
        <w:t xml:space="preserve">Scope 1 (Direct Emissions):</w:t>
      </w:r>
      <w:r>
        <w:t xml:space="preserve"> </w:t>
      </w:r>
      <w:r>
        <w:t xml:space="preserve">For this product analysis, direct combustion emissions at the manufacturing plant are assumed negligible or integrated into electricity generation if on-site.</w:t>
      </w:r>
    </w:p>
    <w:p>
      <w:pPr>
        <w:numPr>
          <w:ilvl w:val="0"/>
          <w:numId w:val="1008"/>
        </w:numPr>
        <w:pStyle w:val="Compact"/>
      </w:pPr>
      <w:r>
        <w:rPr>
          <w:bCs/>
          <w:b/>
        </w:rPr>
        <w:t xml:space="preserve">Scope 2 (Purchased Electricity):</w:t>
      </w:r>
    </w:p>
    <w:p>
      <w:pPr>
        <w:numPr>
          <w:ilvl w:val="1"/>
          <w:numId w:val="1009"/>
        </w:numPr>
        <w:pStyle w:val="Compact"/>
      </w:pPr>
      <w:r>
        <w:t xml:space="preserve">Energy Intensity: dmfhknziok = 20 kWh/unit</w:t>
      </w:r>
    </w:p>
    <w:p>
      <w:pPr>
        <w:numPr>
          <w:ilvl w:val="1"/>
          <w:numId w:val="1009"/>
        </w:numPr>
        <w:pStyle w:val="Compact"/>
      </w:pPr>
      <w:r>
        <w:t xml:space="preserve">Renewable Energy Usage: vmhdfpehju = 50%</w:t>
      </w:r>
    </w:p>
    <w:p>
      <w:pPr>
        <w:numPr>
          <w:ilvl w:val="1"/>
          <w:numId w:val="1009"/>
        </w:numPr>
        <w:pStyle w:val="Compact"/>
      </w:pPr>
      <w:r>
        <w:t xml:space="preserve">Non-renewable electricity: 20 kWh * (1 - 0.50) = 10 kWh</w:t>
      </w:r>
    </w:p>
    <w:p>
      <w:pPr>
        <w:numPr>
          <w:ilvl w:val="1"/>
          <w:numId w:val="1009"/>
        </w:numPr>
        <w:pStyle w:val="Compact"/>
      </w:pPr>
      <w:r>
        <w:t xml:space="preserve">Emission Factor (China Grid): 0.6 kg CO2e/kWh</w:t>
      </w:r>
    </w:p>
    <w:p>
      <w:pPr>
        <w:numPr>
          <w:ilvl w:val="1"/>
          <w:numId w:val="1009"/>
        </w:numPr>
        <w:pStyle w:val="Compact"/>
      </w:pPr>
      <w:r>
        <w:t xml:space="preserve">Scope 2 Emissions = 10 kWh/unit * 0.6 kg CO2e/kWh = 6.0 kg CO2e</w:t>
      </w:r>
    </w:p>
    <w:p>
      <w:pPr>
        <w:numPr>
          <w:ilvl w:val="0"/>
          <w:numId w:val="1008"/>
        </w:numPr>
        <w:pStyle w:val="Compact"/>
      </w:pPr>
      <w:r>
        <w:rPr>
          <w:bCs/>
          <w:b/>
        </w:rPr>
        <w:t xml:space="preserve">Scope 3 (Upstream, e.g., outsourced processes):</w:t>
      </w:r>
      <w:r>
        <w:t xml:space="preserve"> </w:t>
      </w:r>
      <w:r>
        <w:t xml:space="preserve">Assumed negligible for direct manufacturing operations not covered by BOM or Scope 1/2.</w:t>
      </w:r>
    </w:p>
    <w:p>
      <w:pPr>
        <w:pStyle w:val="FirstParagraph"/>
      </w:pPr>
      <w:r>
        <w:rPr>
          <w:bCs/>
          <w:b/>
        </w:rPr>
        <w:t xml:space="preserve">Total Emissions (Manufacturing): 6.00 kg CO2e</w:t>
      </w:r>
    </w:p>
    <w:bookmarkEnd w:id="33"/>
    <w:bookmarkStart w:id="36" w:name="X981923b8cb60f0edee598a5efe02199461582eb"/>
    <w:p>
      <w:pPr>
        <w:pStyle w:val="Heading3"/>
      </w:pPr>
      <w:r>
        <w:t xml:space="preserve">3.3. Transportation (Scope 3 - Upstream &amp; Downstream)</w:t>
      </w:r>
    </w:p>
    <w:p>
      <w:pPr>
        <w:pStyle w:val="FirstParagraph"/>
      </w:pPr>
      <w:r>
        <w:t xml:space="preserve">Calculations are based on assumed distances and emission factors for illustrative purposes. Product weight for transport is approximately 1.99 kg.</w:t>
      </w:r>
    </w:p>
    <w:bookmarkStart w:id="34" w:name="X86c0f34a75b294f5538715cb6d8081b06081652"/>
    <w:p>
      <w:pPr>
        <w:pStyle w:val="Heading4"/>
      </w:pPr>
      <w:r>
        <w:t xml:space="preserve">3.3.1. Upstream Transportation (Materials to Factory)</w:t>
      </w:r>
    </w:p>
    <w:p>
      <w:pPr>
        <w:numPr>
          <w:ilvl w:val="0"/>
          <w:numId w:val="1010"/>
        </w:numPr>
        <w:pStyle w:val="Compact"/>
      </w:pPr>
      <w:r>
        <w:rPr>
          <w:bCs/>
          <w:b/>
        </w:rPr>
        <w:t xml:space="preserve">Mode:</w:t>
      </w:r>
      <w:r>
        <w:t xml:space="preserve"> </w:t>
      </w:r>
      <w:r>
        <w:t xml:space="preserve">Select Mode (e.g., Ocean Freight).</w:t>
      </w:r>
    </w:p>
    <w:p>
      <w:pPr>
        <w:numPr>
          <w:ilvl w:val="0"/>
          <w:numId w:val="1010"/>
        </w:numPr>
        <w:pStyle w:val="Compact"/>
      </w:pPr>
      <w:r>
        <w:rPr>
          <w:bCs/>
          <w:b/>
        </w:rPr>
        <w:t xml:space="preserve">Distance:</w:t>
      </w:r>
      <w:r>
        <w:t xml:space="preserve"> </w:t>
      </w:r>
      <w:r>
        <w:t xml:space="preserve">gxqoslhgvt (e.g., 10,000 km).</w:t>
      </w:r>
    </w:p>
    <w:p>
      <w:pPr>
        <w:numPr>
          <w:ilvl w:val="0"/>
          <w:numId w:val="1010"/>
        </w:numPr>
        <w:pStyle w:val="Compact"/>
      </w:pPr>
      <w:r>
        <w:rPr>
          <w:bCs/>
          <w:b/>
        </w:rPr>
        <w:t xml:space="preserve">Mass:</w:t>
      </w:r>
      <w:r>
        <w:t xml:space="preserve"> </w:t>
      </w:r>
      <w:r>
        <w:t xml:space="preserve">1.99 kg (approx. total BOM weight).</w:t>
      </w:r>
    </w:p>
    <w:p>
      <w:pPr>
        <w:numPr>
          <w:ilvl w:val="0"/>
          <w:numId w:val="1010"/>
        </w:numPr>
        <w:pStyle w:val="Compact"/>
      </w:pPr>
      <w:r>
        <w:rPr>
          <w:bCs/>
          <w:b/>
        </w:rPr>
        <w:t xml:space="preserve">Emissions:</w:t>
      </w:r>
      <w:r>
        <w:t xml:space="preserve"> </w:t>
      </w:r>
      <w:r>
        <w:t xml:space="preserve">(1.99 kg / 1000 kg/tonne) * 10,000 km * 0.01 kg CO2e/tonne-km = 0.199 kg CO2e</w:t>
      </w:r>
    </w:p>
    <w:bookmarkEnd w:id="34"/>
    <w:bookmarkStart w:id="35" w:name="X2577d9727e7695e187d1e0220bf6dd27e0cd7da"/>
    <w:p>
      <w:pPr>
        <w:pStyle w:val="Heading4"/>
      </w:pPr>
      <w:r>
        <w:t xml:space="preserve">3.3.2. Downstream Transportation (Last-Mile Delivery)</w:t>
      </w:r>
    </w:p>
    <w:p>
      <w:pPr>
        <w:numPr>
          <w:ilvl w:val="0"/>
          <w:numId w:val="1011"/>
        </w:numPr>
        <w:pStyle w:val="Compact"/>
      </w:pPr>
      <w:r>
        <w:rPr>
          <w:bCs/>
          <w:b/>
        </w:rPr>
        <w:t xml:space="preserve">Mode:</w:t>
      </w:r>
      <w:r>
        <w:t xml:space="preserve"> </w:t>
      </w:r>
      <w:r>
        <w:t xml:space="preserve">Delivery Type (e.g., Road Freight - Heavy Goods Vehicle).</w:t>
      </w:r>
    </w:p>
    <w:p>
      <w:pPr>
        <w:numPr>
          <w:ilvl w:val="0"/>
          <w:numId w:val="1011"/>
        </w:numPr>
        <w:pStyle w:val="Compact"/>
      </w:pPr>
      <w:r>
        <w:rPr>
          <w:bCs/>
          <w:b/>
        </w:rPr>
        <w:t xml:space="preserve">Distance:</w:t>
      </w:r>
      <w:r>
        <w:t xml:space="preserve"> </w:t>
      </w:r>
      <w:r>
        <w:t xml:space="preserve">Assumed 500 km.</w:t>
      </w:r>
    </w:p>
    <w:p>
      <w:pPr>
        <w:numPr>
          <w:ilvl w:val="0"/>
          <w:numId w:val="1011"/>
        </w:numPr>
        <w:pStyle w:val="Compact"/>
      </w:pPr>
      <w:r>
        <w:rPr>
          <w:bCs/>
          <w:b/>
        </w:rPr>
        <w:t xml:space="preserve">Mass:</w:t>
      </w:r>
      <w:r>
        <w:t xml:space="preserve"> </w:t>
      </w:r>
      <w:r>
        <w:t xml:space="preserve">1.99 kg.</w:t>
      </w:r>
    </w:p>
    <w:p>
      <w:pPr>
        <w:numPr>
          <w:ilvl w:val="0"/>
          <w:numId w:val="1011"/>
        </w:numPr>
        <w:pStyle w:val="Compact"/>
      </w:pPr>
      <w:r>
        <w:rPr>
          <w:bCs/>
          <w:b/>
        </w:rPr>
        <w:t xml:space="preserve">Emissions:</w:t>
      </w:r>
      <w:r>
        <w:t xml:space="preserve"> </w:t>
      </w:r>
      <w:r>
        <w:t xml:space="preserve">(1.99 kg / 1000 kg/tonne) * 500 km * 0.09 kg CO2e/tonne-km = 0.089 kg CO2e</w:t>
      </w:r>
    </w:p>
    <w:p>
      <w:pPr>
        <w:pStyle w:val="FirstParagraph"/>
      </w:pPr>
      <w:r>
        <w:rPr>
          <w:bCs/>
          <w:b/>
        </w:rPr>
        <w:t xml:space="preserve">Total Emissions (Transportation): 0.199 + 0.089 = 0.288 kg CO2e</w:t>
      </w:r>
    </w:p>
    <w:bookmarkEnd w:id="35"/>
    <w:bookmarkEnd w:id="36"/>
    <w:bookmarkStart w:id="37" w:name="use-phase-scope-3---downstream"/>
    <w:p>
      <w:pPr>
        <w:pStyle w:val="Heading3"/>
      </w:pPr>
      <w:r>
        <w:t xml:space="preserve">3.4. Use Phase (Scope 3 - Downstream)</w:t>
      </w:r>
    </w:p>
    <w:p>
      <w:pPr>
        <w:pStyle w:val="FirstParagraph"/>
      </w:pPr>
      <w:r>
        <w:t xml:space="preserve">Emissions from energy consumption during the product\'s operational lifespan.</w:t>
      </w:r>
    </w:p>
    <w:p>
      <w:pPr>
        <w:numPr>
          <w:ilvl w:val="0"/>
          <w:numId w:val="1012"/>
        </w:numPr>
        <w:pStyle w:val="Compact"/>
      </w:pPr>
      <w:r>
        <w:rPr>
          <w:bCs/>
          <w:b/>
        </w:rPr>
        <w:t xml:space="preserve">Product Lifespan:</w:t>
      </w:r>
      <w:r>
        <w:t xml:space="preserve"> </w:t>
      </w:r>
      <w:r>
        <w:t xml:space="preserve">uffyfdvjrg (e.g., 5 years).</w:t>
      </w:r>
    </w:p>
    <w:p>
      <w:pPr>
        <w:numPr>
          <w:ilvl w:val="0"/>
          <w:numId w:val="1012"/>
        </w:numPr>
        <w:pStyle w:val="Compact"/>
      </w:pPr>
      <w:r>
        <w:rPr>
          <w:bCs/>
          <w:b/>
        </w:rPr>
        <w:t xml:space="preserve">Energy Consumption in Use:</w:t>
      </w:r>
      <w:r>
        <w:t xml:space="preserve"> </w:t>
      </w:r>
      <w:r>
        <w:t xml:space="preserve">kpeydvpzxk (e.g., 10 kWh/year).</w:t>
      </w:r>
    </w:p>
    <w:p>
      <w:pPr>
        <w:numPr>
          <w:ilvl w:val="0"/>
          <w:numId w:val="1012"/>
        </w:numPr>
        <w:pStyle w:val="Compact"/>
      </w:pPr>
      <w:r>
        <w:rPr>
          <w:bCs/>
          <w:b/>
        </w:rPr>
        <w:t xml:space="preserve">Total Energy Consumption:</w:t>
      </w:r>
      <w:r>
        <w:t xml:space="preserve"> </w:t>
      </w:r>
      <w:r>
        <w:t xml:space="preserve">5 years * 10 kWh/year = 50 kWh.</w:t>
      </w:r>
    </w:p>
    <w:p>
      <w:pPr>
        <w:numPr>
          <w:ilvl w:val="0"/>
          <w:numId w:val="1012"/>
        </w:numPr>
        <w:pStyle w:val="Compact"/>
      </w:pPr>
      <w:r>
        <w:rPr>
          <w:bCs/>
          <w:b/>
        </w:rPr>
        <w:t xml:space="preserve">Emission Factor (Europe Grid Mix):</w:t>
      </w:r>
      <w:r>
        <w:t xml:space="preserve"> </w:t>
      </w:r>
      <w:r>
        <w:t xml:space="preserve">0.3 kg CO2e/kWh.</w:t>
      </w:r>
    </w:p>
    <w:p>
      <w:pPr>
        <w:numPr>
          <w:ilvl w:val="0"/>
          <w:numId w:val="1012"/>
        </w:numPr>
        <w:pStyle w:val="Compact"/>
      </w:pPr>
      <w:r>
        <w:rPr>
          <w:bCs/>
          <w:b/>
        </w:rPr>
        <w:t xml:space="preserve">Emissions:</w:t>
      </w:r>
      <w:r>
        <w:t xml:space="preserve"> </w:t>
      </w:r>
      <w:r>
        <w:t xml:space="preserve">50 kWh * 0.3 kg CO2e/kWh = 15.0 kg CO2e</w:t>
      </w:r>
    </w:p>
    <w:p>
      <w:pPr>
        <w:pStyle w:val="FirstParagraph"/>
      </w:pPr>
      <w:r>
        <w:rPr>
          <w:bCs/>
          <w:b/>
        </w:rPr>
        <w:t xml:space="preserve">Total Emissions (Use Phase): 15.00 kg CO2e</w:t>
      </w:r>
    </w:p>
    <w:bookmarkEnd w:id="37"/>
    <w:bookmarkStart w:id="38" w:name="end-of-life-eol-scope-3---downstream"/>
    <w:p>
      <w:pPr>
        <w:pStyle w:val="Heading3"/>
      </w:pPr>
      <w:r>
        <w:t xml:space="preserve">3.5. End-of-Life (EoL) (Scope 3 - Downstream)</w:t>
      </w:r>
    </w:p>
    <w:p>
      <w:pPr>
        <w:pStyle w:val="FirstParagraph"/>
      </w:pPr>
      <w:r>
        <w:t xml:space="preserve">This considers the impacts of recyclability and disposal.</w:t>
      </w:r>
    </w:p>
    <w:p>
      <w:pPr>
        <w:numPr>
          <w:ilvl w:val="0"/>
          <w:numId w:val="1013"/>
        </w:numPr>
        <w:pStyle w:val="Compact"/>
      </w:pPr>
      <w:r>
        <w:rPr>
          <w:bCs/>
          <w:b/>
        </w:rPr>
        <w:t xml:space="preserve">Recyclability Percentage:</w:t>
      </w:r>
      <w:r>
        <w:t xml:space="preserve"> </w:t>
      </w:r>
      <w:r>
        <w:t xml:space="preserve">lfhitollwd (e.g., 70%).</w:t>
      </w:r>
    </w:p>
    <w:p>
      <w:pPr>
        <w:numPr>
          <w:ilvl w:val="0"/>
          <w:numId w:val="1013"/>
        </w:numPr>
        <w:pStyle w:val="Compact"/>
      </w:pPr>
      <w:r>
        <w:rPr>
          <w:bCs/>
          <w:b/>
        </w:rPr>
        <w:t xml:space="preserve">Circular/Take-back Programs:</w:t>
      </w:r>
      <w:r>
        <w:t xml:space="preserve"> </w:t>
      </w:r>
      <w:r>
        <w:t xml:space="preserve">edwxktrdil (e.g., Yes, operational take-back program).</w:t>
      </w:r>
    </w:p>
    <w:p>
      <w:pPr>
        <w:numPr>
          <w:ilvl w:val="0"/>
          <w:numId w:val="1013"/>
        </w:numPr>
        <w:pStyle w:val="Compact"/>
      </w:pPr>
      <w:r>
        <w:rPr>
          <w:bCs/>
          <w:b/>
        </w:rPr>
        <w:t xml:space="preserve">Total Product Mass:</w:t>
      </w:r>
      <w:r>
        <w:t xml:space="preserve"> </w:t>
      </w:r>
      <w:r>
        <w:t xml:space="preserve">1.99 kg.</w:t>
      </w:r>
    </w:p>
    <w:p>
      <w:pPr>
        <w:numPr>
          <w:ilvl w:val="0"/>
          <w:numId w:val="1013"/>
        </w:numPr>
        <w:pStyle w:val="Compact"/>
      </w:pPr>
      <w:r>
        <w:rPr>
          <w:bCs/>
          <w:b/>
        </w:rPr>
        <w:t xml:space="preserve">Recycled Portion:</w:t>
      </w:r>
      <w:r>
        <w:t xml:space="preserve"> </w:t>
      </w:r>
      <w:r>
        <w:t xml:space="preserve">1.99 kg * 0.70 = 1.393 kg.</w:t>
      </w:r>
    </w:p>
    <w:p>
      <w:pPr>
        <w:numPr>
          <w:ilvl w:val="0"/>
          <w:numId w:val="1013"/>
        </w:numPr>
        <w:pStyle w:val="Compact"/>
      </w:pPr>
      <w:r>
        <w:rPr>
          <w:bCs/>
          <w:b/>
        </w:rPr>
        <w:t xml:space="preserve">Disposed Portion:</w:t>
      </w:r>
      <w:r>
        <w:t xml:space="preserve"> </w:t>
      </w:r>
      <w:r>
        <w:t xml:space="preserve">1.99 kg * (1 - 0.70) = 0.597 kg.</w:t>
      </w:r>
    </w:p>
    <w:p>
      <w:pPr>
        <w:numPr>
          <w:ilvl w:val="0"/>
          <w:numId w:val="1013"/>
        </w:numPr>
        <w:pStyle w:val="Compact"/>
      </w:pPr>
      <w:r>
        <w:rPr>
          <w:bCs/>
          <w:b/>
        </w:rPr>
        <w:t xml:space="preserve">Recycling Benefit:</w:t>
      </w:r>
      <w:r>
        <w:t xml:space="preserve"> </w:t>
      </w:r>
      <w:r>
        <w:t xml:space="preserve">Assumed 70% of virgin material impact is avoided for recycled portion. For illustrative purposes, we will apply this to the total material carbon.</w:t>
      </w:r>
    </w:p>
    <w:p>
      <w:pPr>
        <w:numPr>
          <w:ilvl w:val="1"/>
          <w:numId w:val="1014"/>
        </w:numPr>
        <w:pStyle w:val="Compact"/>
      </w:pPr>
      <w:r>
        <w:t xml:space="preserve">Total Material Carbon: 15.18 kg CO2e</w:t>
      </w:r>
    </w:p>
    <w:p>
      <w:pPr>
        <w:numPr>
          <w:ilvl w:val="1"/>
          <w:numId w:val="1014"/>
        </w:numPr>
        <w:pStyle w:val="Compact"/>
      </w:pPr>
      <w:r>
        <w:t xml:space="preserve">Avoided Emissions: 15.18 kg CO2e * 0.70 (recyclability) * 0.70 (avoidance factor) = 7.438 kg CO2e (negative impact)</w:t>
      </w:r>
    </w:p>
    <w:p>
      <w:pPr>
        <w:numPr>
          <w:ilvl w:val="0"/>
          <w:numId w:val="1013"/>
        </w:numPr>
        <w:pStyle w:val="Compact"/>
      </w:pPr>
      <w:r>
        <w:rPr>
          <w:bCs/>
          <w:b/>
        </w:rPr>
        <w:t xml:space="preserve">Disposal Emissions (Landfill/Incineration):</w:t>
      </w:r>
      <w:r>
        <w:t xml:space="preserve"> </w:t>
      </w:r>
      <w:r>
        <w:t xml:space="preserve">0.597 kg * 0.1 kg CO2e/kg = 0.0597 kg CO2e.</w:t>
      </w:r>
    </w:p>
    <w:p>
      <w:pPr>
        <w:pStyle w:val="FirstParagraph"/>
      </w:pPr>
      <w:r>
        <w:rPr>
          <w:bCs/>
          <w:b/>
        </w:rPr>
        <w:t xml:space="preserve">Net Emissions (End-of-Life): 0.0597 - 7.438 = -7.378 kg CO2e</w:t>
      </w:r>
      <w:r>
        <w:t xml:space="preserve"> </w:t>
      </w:r>
      <w:r>
        <w:t xml:space="preserve">(Represents a net saving due to recycling benefits)</w:t>
      </w:r>
    </w:p>
    <w:p>
      <w:r>
        <w:pict>
          <v:rect style="width:0;height:1.5pt" o:hralign="center" o:hrstd="t" o:hr="t"/>
        </w:pict>
      </w:r>
    </w:p>
    <w:bookmarkEnd w:id="38"/>
    <w:bookmarkEnd w:id="39"/>
    <w:bookmarkStart w:id="41" w:name="summary-of-product-carbon-footprint"/>
    <w:p>
      <w:pPr>
        <w:pStyle w:val="Heading2"/>
      </w:pPr>
      <w:r>
        <w:t xml:space="preserve">4. Summary of Product Carbon Footprint</w:t>
      </w:r>
    </w:p>
    <w:p>
      <w:pPr>
        <w:pStyle w:val="FirstParagraph"/>
      </w:pPr>
      <w:r>
        <w:t xml:space="preserve">The total Product Carbon Footprint for one functional unit of tvsdmqhupd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15.18</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6.00</w:t>
            </w:r>
          </w:p>
        </w:tc>
      </w:tr>
      <w:tr>
        <w:tc>
          <w:tcPr/>
          <w:p>
            <w:pPr>
              <w:pStyle w:val="Compact"/>
              <w:jc w:val="left"/>
            </w:pPr>
            <w:r>
              <w:t xml:space="preserve">Transportation (Inbound &amp; Outbound)</w:t>
            </w:r>
          </w:p>
        </w:tc>
        <w:tc>
          <w:tcPr/>
          <w:p>
            <w:pPr>
              <w:pStyle w:val="Compact"/>
              <w:jc w:val="left"/>
            </w:pPr>
            <w:r>
              <w:t xml:space="preserve">Scope 3 (Upstream &amp; Downstream)</w:t>
            </w:r>
          </w:p>
        </w:tc>
        <w:tc>
          <w:tcPr/>
          <w:p>
            <w:pPr>
              <w:pStyle w:val="Compact"/>
              <w:jc w:val="left"/>
            </w:pPr>
            <w:r>
              <w:t xml:space="preserve">0.29</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-7.38</w:t>
            </w:r>
          </w:p>
        </w:tc>
      </w:tr>
      <w:tr>
        <w:tc>
          <w:tcPr/>
          <w:p>
            <w:pPr>
              <w:pStyle w:val="Compact"/>
              <w:jc w:val="left"/>
            </w:pPr>
            <w:r>
              <w:t xml:space="preserve">Total Product Carbon Footprint</w:t>
            </w:r>
          </w:p>
        </w:tc>
        <w:tc>
          <w:tcPr/>
          <w:p>
            <w:pPr>
              <w:pStyle w:val="Compact"/>
            </w:pPr>
          </w:p>
        </w:tc>
        <w:tc>
          <w:tcPr/>
          <w:p>
            <w:pPr>
              <w:pStyle w:val="Compact"/>
              <w:jc w:val="left"/>
            </w:pPr>
            <w:r>
              <w:t xml:space="preserve">29.09</w:t>
            </w:r>
          </w:p>
        </w:tc>
      </w:tr>
    </w:tbl>
    <w:p>
      <w:pPr>
        <w:pStyle w:val="BodyText"/>
      </w:pPr>
      <w:r>
        <w:rPr>
          <w:bCs/>
          <w:b/>
        </w:rPr>
        <w:t xml:space="preserve">Total Product Carbon Footprint for tvsdmqhupd: 29.09 kg CO2e per unit</w:t>
      </w:r>
    </w:p>
    <w:bookmarkStart w:id="40" w:name="breakdown-by-ghg-protocol-scopes"/>
    <w:p>
      <w:pPr>
        <w:pStyle w:val="Heading3"/>
      </w:pPr>
      <w:r>
        <w:t xml:space="preserve">4.1. Breakdown by GHG Protocol Scopes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(e.g., on-site combustion)</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6.00</w:t>
            </w:r>
          </w:p>
        </w:tc>
        <w:tc>
          <w:tcPr/>
          <w:p>
            <w:pPr>
              <w:pStyle w:val="Compact"/>
              <w:jc w:val="left"/>
            </w:pPr>
            <w:r>
              <w:t xml:space="preserve">20.6%</w:t>
            </w:r>
          </w:p>
        </w:tc>
      </w:tr>
      <w:tr>
        <w:tc>
          <w:tcPr/>
          <w:p>
            <w:pPr>
              <w:pStyle w:val="Compact"/>
              <w:jc w:val="left"/>
            </w:pPr>
            <w:r>
              <w:t xml:space="preserve">Scope 3</w:t>
            </w:r>
          </w:p>
        </w:tc>
        <w:tc>
          <w:tcPr/>
          <w:p>
            <w:pPr>
              <w:pStyle w:val="Compact"/>
              <w:jc w:val="left"/>
            </w:pPr>
            <w:r>
              <w:t xml:space="preserve">All other indirect emissions (materials, transport, use, EoL)</w:t>
            </w:r>
          </w:p>
        </w:tc>
        <w:tc>
          <w:tcPr/>
          <w:p>
            <w:pPr>
              <w:pStyle w:val="Compact"/>
              <w:jc w:val="left"/>
            </w:pPr>
            <w:r>
              <w:t xml:space="preserve">23.09</w:t>
            </w:r>
          </w:p>
        </w:tc>
        <w:tc>
          <w:tcPr/>
          <w:p>
            <w:pPr>
              <w:pStyle w:val="Compact"/>
              <w:jc w:val="left"/>
            </w:pPr>
            <w:r>
              <w:t xml:space="preserve">79.4%</w:t>
            </w:r>
          </w:p>
        </w:tc>
      </w:tr>
      <w:tr>
        <w:tc>
          <w:tcPr/>
          <w:p>
            <w:pPr>
              <w:pStyle w:val="Compact"/>
              <w:jc w:val="left"/>
            </w:pPr>
            <w:r>
              <w:t xml:space="preserve">Total</w:t>
            </w:r>
          </w:p>
        </w:tc>
        <w:tc>
          <w:tcPr/>
          <w:p>
            <w:pPr>
              <w:pStyle w:val="Compact"/>
            </w:pPr>
          </w:p>
        </w:tc>
        <w:tc>
          <w:tcPr/>
          <w:p>
            <w:pPr>
              <w:pStyle w:val="Compact"/>
              <w:jc w:val="left"/>
            </w:pPr>
            <w:r>
              <w:t xml:space="preserve">29.09</w:t>
            </w:r>
          </w:p>
        </w:tc>
        <w:tc>
          <w:tcPr/>
          <w:p>
            <w:pPr>
              <w:pStyle w:val="Compact"/>
              <w:jc w:val="left"/>
            </w:pPr>
            <w:r>
              <w:t xml:space="preserve">100.0%</w:t>
            </w:r>
          </w:p>
        </w:tc>
      </w:tr>
    </w:tbl>
    <w:p>
      <w:pPr>
        <w:pStyle w:val="BodyText"/>
      </w:pPr>
      <w:r>
        <w:rPr>
          <w:iCs/>
          <w:i/>
        </w:rPr>
        <w:t xml:space="preserve">Note: Scope 3 total = (15.18 + 0.29 + 15.00) - 7.38 = 23.09 kg CO2e.</w:t>
      </w:r>
    </w:p>
    <w:p>
      <w:r>
        <w:pict>
          <v:rect style="width:0;height:1.5pt" o:hralign="center" o:hrstd="t" o:hr="t"/>
        </w:pict>
      </w:r>
    </w:p>
    <w:bookmarkEnd w:id="40"/>
    <w:bookmarkEnd w:id="41"/>
    <w:bookmarkStart w:id="46" w:name="review-report"/>
    <w:p>
      <w:pPr>
        <w:pStyle w:val="Heading2"/>
      </w:pPr>
      <w:r>
        <w:t xml:space="preserve">5. Review &amp; Report</w:t>
      </w:r>
    </w:p>
    <w:bookmarkStart w:id="42" w:name="hotspots-analysis"/>
    <w:p>
      <w:pPr>
        <w:pStyle w:val="Heading3"/>
      </w:pPr>
      <w:r>
        <w:t xml:space="preserve">5.1. Hotspots Analysis</w:t>
      </w:r>
    </w:p>
    <w:p>
      <w:pPr>
        <w:pStyle w:val="FirstParagraph"/>
      </w:pPr>
      <w:r>
        <w:t xml:space="preserve">The primary emission hotspots for tvsdmqhupd are identified as:</w:t>
      </w:r>
    </w:p>
    <w:p>
      <w:pPr>
        <w:numPr>
          <w:ilvl w:val="0"/>
          <w:numId w:val="1015"/>
        </w:numPr>
        <w:pStyle w:val="Compact"/>
      </w:pPr>
      <w:r>
        <w:rPr>
          <w:bCs/>
          <w:b/>
        </w:rPr>
        <w:t xml:space="preserve">Material Acquisition &amp; Pre-processing (Scope 3):</w:t>
      </w:r>
      <w:r>
        <w:t xml:space="preserve"> </w:t>
      </w:r>
      <w:r>
        <w:t xml:space="preserve">Representing 15.18 kg CO2e, this phase is a significant contributor, highlighting the importance of sustainable material sourcing and design.</w:t>
      </w:r>
    </w:p>
    <w:p>
      <w:pPr>
        <w:numPr>
          <w:ilvl w:val="0"/>
          <w:numId w:val="1015"/>
        </w:numPr>
        <w:pStyle w:val="Compact"/>
      </w:pPr>
      <w:r>
        <w:rPr>
          <w:bCs/>
          <w:b/>
        </w:rPr>
        <w:t xml:space="preserve">Use Phase (Scope 3):</w:t>
      </w:r>
      <w:r>
        <w:t xml:space="preserve"> </w:t>
      </w:r>
      <w:r>
        <w:t xml:space="preserve">At 15.00 kg CO2e, the energy consumed during the product\'s lifespan is another major hotspot, indicating a need for energy-efficient product design and user awareness.</w:t>
      </w:r>
    </w:p>
    <w:p>
      <w:pPr>
        <w:numPr>
          <w:ilvl w:val="0"/>
          <w:numId w:val="1015"/>
        </w:numPr>
        <w:pStyle w:val="Compact"/>
      </w:pPr>
      <w:r>
        <w:rPr>
          <w:bCs/>
          <w:b/>
        </w:rPr>
        <w:t xml:space="preserve">Manufacturing (Scope 2):</w:t>
      </w:r>
      <w:r>
        <w:t xml:space="preserve"> </w:t>
      </w:r>
      <w:r>
        <w:t xml:space="preserve">Emissions from purchased electricity for production account for 6.00 kg CO2e, suggesting opportunities for increasing renewable energy usage at the factory.</w:t>
      </w:r>
    </w:p>
    <w:p>
      <w:pPr>
        <w:numPr>
          <w:ilvl w:val="0"/>
          <w:numId w:val="1015"/>
        </w:numPr>
        <w:pStyle w:val="Compact"/>
      </w:pPr>
      <w:r>
        <w:rPr>
          <w:bCs/>
          <w:b/>
        </w:rPr>
        <w:t xml:space="preserve">End-of-Life (Scope 3):</w:t>
      </w:r>
      <w:r>
        <w:t xml:space="preserve"> </w:t>
      </w:r>
      <w:r>
        <w:t xml:space="preserve">The strong positive impact from recycling (-7.38 kg CO2e) demonstrates the effectiveness of circular economy initiatives and take-back programs, significantly offsetting upstream emissions.</w:t>
      </w:r>
    </w:p>
    <w:bookmarkEnd w:id="42"/>
    <w:bookmarkStart w:id="43" w:name="reliability-and-limitations"/>
    <w:p>
      <w:pPr>
        <w:pStyle w:val="Heading3"/>
      </w:pPr>
      <w:r>
        <w:t xml:space="preserve">5.2. Reliability and Limitations</w:t>
      </w:r>
    </w:p>
    <w:p>
      <w:pPr>
        <w:pStyle w:val="FirstParagraph"/>
      </w:pPr>
      <w:r>
        <w:t xml:space="preserve">The reliability of this PCF analysis is based on the provided parameters and the use of industry-average emission factors.</w:t>
      </w:r>
    </w:p>
    <w:p>
      <w:pPr>
        <w:numPr>
          <w:ilvl w:val="0"/>
          <w:numId w:val="1016"/>
        </w:numPr>
        <w:pStyle w:val="Compact"/>
      </w:pPr>
      <w:r>
        <w:rPr>
          <w:bCs/>
          <w:b/>
        </w:rPr>
        <w:t xml:space="preserve">Placeholder Data:</w:t>
      </w:r>
      <w:r>
        <w:t xml:space="preserve"> </w:t>
      </w:r>
      <w:r>
        <w:t xml:space="preserve">Several parameters were provided as placeholders (e.g., vmhdfpehju, dmfhknziok, gxqoslhgvt). Illustrative values were used for calculation purposes, which may not reflect actual operational data.</w:t>
      </w:r>
    </w:p>
    <w:p>
      <w:pPr>
        <w:numPr>
          <w:ilvl w:val="0"/>
          <w:numId w:val="1016"/>
        </w:numPr>
        <w:pStyle w:val="Compact"/>
      </w:pPr>
      <w:r>
        <w:rPr>
          <w:bCs/>
          <w:b/>
        </w:rPr>
        <w:t xml:space="preserve">Emission Factor Specificity:</w:t>
      </w:r>
      <w:r>
        <w:t xml:space="preserve"> </w:t>
      </w:r>
      <w:r>
        <w:t xml:space="preserve">Generic industry-standard emission factors from sources like Ecoinvent and DEFRA have been applied. Product-specific or supplier-specific primary data would further enhance accuracy.</w:t>
      </w:r>
    </w:p>
    <w:p>
      <w:pPr>
        <w:numPr>
          <w:ilvl w:val="0"/>
          <w:numId w:val="1016"/>
        </w:numPr>
        <w:pStyle w:val="Compact"/>
      </w:pPr>
      <w:r>
        <w:rPr>
          <w:bCs/>
          <w:b/>
        </w:rPr>
        <w:t xml:space="preserve">System Boundary:</w:t>
      </w:r>
      <w:r>
        <w:t xml:space="preserve"> </w:t>
      </w:r>
      <w:r>
        <w:t xml:space="preserve">While a cradle-to-grave approach was adopted to fulfill requirements, certain minor processes might be excluded due to data availability or materiality considerations (e.g., capital goods emissions).</w:t>
      </w:r>
    </w:p>
    <w:p>
      <w:pPr>
        <w:numPr>
          <w:ilvl w:val="0"/>
          <w:numId w:val="1016"/>
        </w:numPr>
        <w:pStyle w:val="Compact"/>
      </w:pPr>
      <w:r>
        <w:rPr>
          <w:bCs/>
          <w:b/>
        </w:rPr>
        <w:t xml:space="preserve">LSR Standard:</w:t>
      </w:r>
      <w:r>
        <w:t xml:space="preserve"> </w:t>
      </w:r>
      <w:r>
        <w:t xml:space="preserve">The 2026 LSR Standard for land use and removals was acknowledged, but detailed quantification requires specific land-use change data for raw material origins, which was not available for this illustrative report.</w:t>
      </w:r>
    </w:p>
    <w:bookmarkEnd w:id="43"/>
    <w:bookmarkStart w:id="45" w:name="recommendations"/>
    <w:p>
      <w:pPr>
        <w:pStyle w:val="Heading3"/>
      </w:pPr>
      <w:r>
        <w:t xml:space="preserve">5.3. Recommendations</w:t>
      </w:r>
    </w:p>
    <w:p>
      <w:pPr>
        <w:pStyle w:val="FirstParagraph"/>
      </w:pPr>
      <w:r>
        <w:t xml:space="preserve">Based on this analysis,</w:t>
      </w:r>
      <w:r>
        <w:t xml:space="preserve"> </w:t>
      </w:r>
      <w:r>
        <w:rPr>
          <w:bCs/>
          <w:b/>
        </w:rPr>
        <w:t xml:space="preserve">goxixrljuq</w:t>
      </w:r>
      <w:r>
        <w:t xml:space="preserve"> </w:t>
      </w:r>
      <w:r>
        <w:t xml:space="preserve">can consider the following actions to reduce the carbon footprint of tvsdmqhupd:</w:t>
      </w:r>
    </w:p>
    <w:p>
      <w:pPr>
        <w:numPr>
          <w:ilvl w:val="0"/>
          <w:numId w:val="1017"/>
        </w:numPr>
        <w:pStyle w:val="Compact"/>
      </w:pPr>
      <w:r>
        <w:rPr>
          <w:bCs/>
          <w:b/>
        </w:rPr>
        <w:t xml:space="preserve">Sustainable Material Sourcing:</w:t>
      </w:r>
      <w:r>
        <w:t xml:space="preserve"> </w:t>
      </w:r>
      <w:r>
        <w:t xml:space="preserve">Investigate opportunities for sourcing lower-carbon alternative materials or materials with higher recycled content to reduce upstream impacts.</w:t>
      </w:r>
    </w:p>
    <w:p>
      <w:pPr>
        <w:numPr>
          <w:ilvl w:val="0"/>
          <w:numId w:val="1017"/>
        </w:numPr>
        <w:pStyle w:val="Compact"/>
      </w:pPr>
      <w:r>
        <w:rPr>
          <w:bCs/>
          <w:b/>
        </w:rPr>
        <w:t xml:space="preserve">Energy Efficiency in Use:</w:t>
      </w:r>
      <w:r>
        <w:t xml:space="preserve"> </w:t>
      </w:r>
      <w:r>
        <w:t xml:space="preserve">Design products for maximum energy efficiency during the use phase to minimize end-user electricity consumption.</w:t>
      </w:r>
    </w:p>
    <w:p>
      <w:pPr>
        <w:numPr>
          <w:ilvl w:val="0"/>
          <w:numId w:val="1017"/>
        </w:numPr>
        <w:pStyle w:val="Compact"/>
      </w:pPr>
      <w:r>
        <w:rPr>
          <w:bCs/>
          <w:b/>
        </w:rPr>
        <w:t xml:space="preserve">Renewable Energy Transition:</w:t>
      </w:r>
      <w:r>
        <w:t xml:space="preserve"> </w:t>
      </w:r>
      <w:r>
        <w:t xml:space="preserve">Increase the percentage of renewable energy used in manufacturing operations to further reduce Scope 2 emissions.</w:t>
      </w:r>
    </w:p>
    <w:p>
      <w:pPr>
        <w:numPr>
          <w:ilvl w:val="0"/>
          <w:numId w:val="1017"/>
        </w:numPr>
        <w:pStyle w:val="Compact"/>
      </w:pPr>
      <w:r>
        <w:rPr>
          <w:bCs/>
          <w:b/>
        </w:rPr>
        <w:t xml:space="preserve">Strengthen Circularity:</w:t>
      </w:r>
      <w:r>
        <w:t xml:space="preserve"> </w:t>
      </w:r>
      <w:r>
        <w:t xml:space="preserve">Continue to invest in and expand circular economy initiatives and take-back programs to maximize recycling rates and associated benefits.</w:t>
      </w:r>
    </w:p>
    <w:p>
      <w:pPr>
        <w:numPr>
          <w:ilvl w:val="0"/>
          <w:numId w:val="1017"/>
        </w:numPr>
        <w:pStyle w:val="Compact"/>
      </w:pPr>
      <w:r>
        <w:rPr>
          <w:bCs/>
          <w:b/>
        </w:rPr>
        <w:t xml:space="preserve">Data Refinement:</w:t>
      </w:r>
      <w:r>
        <w:t xml:space="preserve"> </w:t>
      </w:r>
      <w:r>
        <w:t xml:space="preserve">Collect more granular, product-specific primary data for all lifecycle stages, especially for supplier-specific emission factors, to improve accuracy of future PCF assessments.</w:t>
      </w:r>
    </w:p>
    <w:p>
      <w:pPr>
        <w:pStyle w:val="FirstParagraph"/>
      </w:pPr>
      <w:r>
        <w:t xml:space="preserve">Confidential - Internal Use Only | Page</w:t>
      </w:r>
      <w:r>
        <w:t xml:space="preserve"> </w:t>
      </w:r>
      <w:bookmarkStart w:id="44" w:name="pageNumber"/>
      <w:bookmarkEnd w:id="44"/>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tvsdmqhupd</dc:title>
  <dc:creator/>
  <dc:description>Detailed Product Carbon Footprint (PCF) analysis report for tvsdmqhupd, performed by mwkqosyyuo, Senior Sustainability Consultant at goxixrljuq, adhering to GHG Protocol and 2026 LSR updates.</dc:description>
  <dc:language>en</dc:language>
  <cp:keywords/>
  <dcterms:created xsi:type="dcterms:W3CDTF">2026-07-15T11:39:46Z</dcterms:created>
  <dcterms:modified xsi:type="dcterms:W3CDTF">2026-07-15T11:39:46Z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