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tvhzsufuot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tvhzsufuot</w:t>
      </w:r>
    </w:p>
    <w:p>
      <w:pPr>
        <w:pStyle w:val="BodyText"/>
      </w:pPr>
      <w:r>
        <w:rPr>
          <w:bCs/>
          <w:b/>
        </w:rPr>
        <w:t xml:space="preserve">Company:</w:t>
      </w:r>
      <w:r>
        <w:t xml:space="preserve"> </w:t>
      </w:r>
      <w:r>
        <w:t xml:space="preserve">iljlkvprju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woxlzxhnke</w:t>
      </w:r>
    </w:p>
    <w:p>
      <w:pPr>
        <w:pStyle w:val="BodyText"/>
      </w:pPr>
      <w:r>
        <w:t xml:space="preserve">This report is generated based on available data and industry standards. While efforts have been made to ensure accuracy, the actual environmental impact may vary depending on real-world conditions and data availability. This report should be used for informational purposes and strategic planning.</w:t>
      </w:r>
    </w:p>
    <w:bookmarkEnd w:id="20"/>
    <w:bookmarkStart w:id="48" w:name="X809d33981507760d83e08d9e558e353241fc0ac"/>
    <w:p>
      <w:pPr>
        <w:pStyle w:val="Heading1"/>
      </w:pPr>
      <w:r>
        <w:t xml:space="preserve">Product Carbon Footprint Report: tvhzsufuot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tvhzsufuot</w:t>
      </w:r>
      <w:r>
        <w:t xml:space="preserve">, manufactured by</w:t>
      </w:r>
      <w:r>
        <w:t xml:space="preserve"> </w:t>
      </w:r>
      <w:r>
        <w:rPr>
          <w:bCs/>
          <w:b/>
        </w:rPr>
        <w:t xml:space="preserve">iljlkvprju</w:t>
      </w:r>
      <w:r>
        <w:t xml:space="preserve">. The analysis, conducted by Senior Sustainability Consultant</w:t>
      </w:r>
      <w:r>
        <w:t xml:space="preserve"> </w:t>
      </w:r>
      <w:r>
        <w:rPr>
          <w:bCs/>
          <w:b/>
        </w:rPr>
        <w:t xml:space="preserve">woxlzxhnke</w:t>
      </w:r>
      <w:r>
        <w:t xml:space="preserve">, adheres to the GHG Protocol accounting standard, including considerations from the 2026 Land Sector and Removals (LSR) update. The objective is to quantify the greenhouse gas emissions associated with tvhzsufuot across its lifecycle, identify emission hotspots, and provide actionable insights for sustainability improvements. The assessment covers a factory_gate system boundary with a focus on a Europe-focused supply chain originating from China. The analysis emphasizes Scope 3 compliance, aiming for at least 95% coverage as per 2026 requirements.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outlines the foundational parameters for the Product Carbon Footprint (PCF) analysis of tvhzsufuot.</w:t>
      </w:r>
    </w:p>
    <w:p>
      <w:pPr>
        <w:numPr>
          <w:ilvl w:val="0"/>
          <w:numId w:val="1001"/>
        </w:numPr>
        <w:pStyle w:val="Compact"/>
      </w:pPr>
      <w:r>
        <w:rPr>
          <w:bCs/>
          <w:b/>
        </w:rPr>
        <w:t xml:space="preserve">Functional Unit:</w:t>
      </w:r>
      <w:r>
        <w:t xml:space="preserve"> </w:t>
      </w:r>
      <w:r>
        <w:t xml:space="preserve">The PCF is calculated for 1.0 unit of tvhzsufuot.</w:t>
      </w:r>
    </w:p>
    <w:p>
      <w:pPr>
        <w:numPr>
          <w:ilvl w:val="0"/>
          <w:numId w:val="1001"/>
        </w:numPr>
        <w:pStyle w:val="Compact"/>
      </w:pPr>
      <w:r>
        <w:rPr>
          <w:bCs/>
          <w:b/>
        </w:rPr>
        <w:t xml:space="preserve">System Boundary:</w:t>
      </w:r>
      <w:r>
        <w:t xml:space="preserve"> </w:t>
      </w:r>
      <w:r>
        <w:t xml:space="preserve">The analysis adopts a "factory_gate" boundary, encompassing raw material extraction and processing, manufacturing, and transport up to the point of dispatch from the factory. While the formal boundary is factory_gate, the analysis extends to cover the use phase and end-of-life as specified, aligning with a cradle-to-grave perspective for comprehensive impact assessment,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w:t>
      </w:r>
      <w:r>
        <w:t xml:space="preserve"> </w:t>
      </w:r>
      <w:r>
        <w:t xml:space="preserve">Product Standard.</w:t>
      </w:r>
    </w:p>
    <w:p>
      <w:pPr>
        <w:numPr>
          <w:ilvl w:val="0"/>
          <w:numId w:val="1001"/>
        </w:numPr>
        <w:pStyle w:val="Compact"/>
      </w:pPr>
      <w:r>
        <w:rPr>
          <w:bCs/>
          <w:b/>
        </w:rPr>
        <w:t xml:space="preserve">Allocation:</w:t>
      </w:r>
      <w:r>
        <w:t xml:space="preserve"> </w:t>
      </w:r>
      <w:r>
        <w:t xml:space="preserve">Emissions are directly allocated to the functional unit (1.0 unit of tvhzsufuot) based on mass and energy consumption attributable to its production, use, and end-of-life.</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tvhzsufuot is mapped into distinct stages to systematically identify and quantify associated emissions, adhering to GHG Protocol categorization (Scope 1, 2, 3).</w:t>
      </w:r>
    </w:p>
    <w:bookmarkStart w:id="23" w:name="X52a43dd579b22afa108e40360bc25c5ba65bc6a"/>
    <w:p>
      <w:pPr>
        <w:pStyle w:val="Heading3"/>
      </w:pPr>
      <w:r>
        <w:t xml:space="preserve">2.1. Raw Material Acquisition &amp; Pre-processing (GHG Scope 3: Upstream)</w:t>
      </w:r>
    </w:p>
    <w:p>
      <w:pPr>
        <w:pStyle w:val="FirstParagraph"/>
      </w:pPr>
      <w:r>
        <w:t xml:space="preserve">This stage includes all activities related to the extraction, cultivation, and initial processing of raw materials required for tvhzsufuot. Emissions here are primarily indirect and fall under Scope 3, Category 1 (Purchased goods and services).</w:t>
      </w:r>
    </w:p>
    <w:bookmarkEnd w:id="23"/>
    <w:bookmarkStart w:id="24" w:name="manufacturing-ghg-scope-1-2"/>
    <w:p>
      <w:pPr>
        <w:pStyle w:val="Heading3"/>
      </w:pPr>
      <w:r>
        <w:t xml:space="preserve">2.2. Manufacturing (GHG Scope 1 &amp; 2)</w:t>
      </w:r>
    </w:p>
    <w:p>
      <w:pPr>
        <w:pStyle w:val="FirstParagraph"/>
      </w:pPr>
      <w:r>
        <w:t xml:space="preserve">The manufacturing phase covers all processes occurring at iljlkvprju\'s production facilities.</w:t>
      </w:r>
    </w:p>
    <w:p>
      <w:pPr>
        <w:numPr>
          <w:ilvl w:val="0"/>
          <w:numId w:val="1003"/>
        </w:numPr>
        <w:pStyle w:val="Compact"/>
      </w:pPr>
      <w:r>
        <w:rPr>
          <w:bCs/>
          <w:b/>
        </w:rPr>
        <w:t xml:space="preserve">Scope 1:</w:t>
      </w:r>
      <w:r>
        <w:t xml:space="preserve"> </w:t>
      </w:r>
      <w:r>
        <w:t xml:space="preserve">Direct emissions from owned or controlled sources (e.g., combustion of natural gas in boilers on-site, process emissions).</w:t>
      </w:r>
    </w:p>
    <w:p>
      <w:pPr>
        <w:numPr>
          <w:ilvl w:val="0"/>
          <w:numId w:val="1003"/>
        </w:numPr>
        <w:pStyle w:val="Compact"/>
      </w:pPr>
      <w:r>
        <w:rPr>
          <w:bCs/>
          <w:b/>
        </w:rPr>
        <w:t xml:space="preserve">Scope 2:</w:t>
      </w:r>
      <w:r>
        <w:t xml:space="preserve"> </w:t>
      </w:r>
      <w:r>
        <w:t xml:space="preserve">Indirect emissions from the generation of purchased electricity, heat, or steam consumed by the factory.</w:t>
      </w:r>
    </w:p>
    <w:bookmarkEnd w:id="24"/>
    <w:bookmarkStart w:id="25" w:name="Xde1ce8f01e5ba8fa2f410d422712ab18741fbed"/>
    <w:p>
      <w:pPr>
        <w:pStyle w:val="Heading3"/>
      </w:pPr>
      <w:r>
        <w:t xml:space="preserve">2.3. Transport (GHG Scope 3: Upstream &amp; Downstream)</w:t>
      </w:r>
    </w:p>
    <w:p>
      <w:pPr>
        <w:pStyle w:val="FirstParagraph"/>
      </w:pPr>
      <w:r>
        <w:t xml:space="preserve">Transportation accounts for emissions from moving raw materials to the factory (upstream) and the finished product to the customer (downstream).</w:t>
      </w:r>
    </w:p>
    <w:p>
      <w:pPr>
        <w:numPr>
          <w:ilvl w:val="0"/>
          <w:numId w:val="1004"/>
        </w:numPr>
        <w:pStyle w:val="Compact"/>
      </w:pPr>
      <w:r>
        <w:rPr>
          <w:bCs/>
          <w:b/>
        </w:rPr>
        <w:t xml:space="preserve">Upstream Transport (Scope 3, Category 4):</w:t>
      </w:r>
      <w:r>
        <w:t xml:space="preserve"> </w:t>
      </w:r>
      <w:r>
        <w:t xml:space="preserve">Transport of raw materials and components.</w:t>
      </w:r>
    </w:p>
    <w:p>
      <w:pPr>
        <w:numPr>
          <w:ilvl w:val="0"/>
          <w:numId w:val="1004"/>
        </w:numPr>
        <w:pStyle w:val="Compact"/>
      </w:pPr>
      <w:r>
        <w:rPr>
          <w:bCs/>
          <w:b/>
        </w:rPr>
        <w:t xml:space="preserve">Downstream Transport (Scope 3, Category 9):</w:t>
      </w:r>
      <w:r>
        <w:t xml:space="preserve"> </w:t>
      </w:r>
      <w:r>
        <w:t xml:space="preserve">Transport of finished products to customers, including last-mile delivery.</w:t>
      </w:r>
    </w:p>
    <w:bookmarkEnd w:id="25"/>
    <w:bookmarkStart w:id="26" w:name="use-phase-ghg-scope-3-downstream"/>
    <w:p>
      <w:pPr>
        <w:pStyle w:val="Heading3"/>
      </w:pPr>
      <w:r>
        <w:t xml:space="preserve">2.4. Use Phase (GHG Scope 3: Downstream)</w:t>
      </w:r>
    </w:p>
    <w:p>
      <w:pPr>
        <w:pStyle w:val="FirstParagraph"/>
      </w:pPr>
      <w:r>
        <w:t xml:space="preserve">This phase covers emissions generated during the product\'s intended use by the consumer. For tvhzsufuot, this primarily relates to energy consumption during its operational lifespan (Scope 3, Category 11).</w:t>
      </w:r>
    </w:p>
    <w:bookmarkEnd w:id="26"/>
    <w:bookmarkStart w:id="27" w:name="end-of-life-eol-ghg-scope-3-downstream"/>
    <w:p>
      <w:pPr>
        <w:pStyle w:val="Heading3"/>
      </w:pPr>
      <w:r>
        <w:t xml:space="preserve">2.5. End-of-Life (EoL) (GHG Scope 3: Downstream)</w:t>
      </w:r>
    </w:p>
    <w:p>
      <w:pPr>
        <w:pStyle w:val="FirstParagraph"/>
      </w:pPr>
      <w:r>
        <w:t xml:space="preserve">The EoL stage addresses emissions and potential avoided emissions associated with the product\'s disposal, recycling, or recovery (Scope 3, Category 12).</w:t>
      </w:r>
    </w:p>
    <w:p>
      <w:r>
        <w:pict>
          <v:rect style="width:0;height:1.5pt" o:hralign="center" o:hrstd="t" o:hr="t"/>
        </w:pict>
      </w:r>
    </w:p>
    <w:bookmarkEnd w:id="27"/>
    <w:bookmarkEnd w:id="28"/>
    <w:bookmarkStart w:id="35" w:name="data-collection"/>
    <w:p>
      <w:pPr>
        <w:pStyle w:val="Heading2"/>
      </w:pPr>
      <w:r>
        <w:t xml:space="preserve">3. Data Collection</w:t>
      </w:r>
    </w:p>
    <w:p>
      <w:pPr>
        <w:pStyle w:val="FirstParagraph"/>
      </w:pPr>
      <w:r>
        <w:t xml:space="preserve">Data was collected from various sources, incorporating specific parameters provided for high-detail analysis.</w:t>
      </w:r>
    </w:p>
    <w:bookmarkStart w:id="29" w:name="detailed-bill-of-materials-bom-data"/>
    <w:p>
      <w:pPr>
        <w:pStyle w:val="Heading3"/>
      </w:pPr>
      <w:r>
        <w:t xml:space="preserve">3.1. Detailed Bill of Materials (BOM) Data</w:t>
      </w:r>
    </w:p>
    <w:p>
      <w:pPr>
        <w:pStyle w:val="FirstParagraph"/>
      </w:pPr>
      <w:r>
        <w:t xml:space="preserve">The Bill of Materials (BOM) for tvhzsufuot is crucial for quantifying the material footprint. The parameter `pywswxdh` represents this detailed BOM data. For illustrative purposes, we present an example entry adhering to the specified format (ID, Description, Category, Process, Qty, Unit, Emission Factor, Total Carbon). In a real assessment, `pywswxdh` would contain a comprehensive list of all components with their precise quantities and associated emission factors, enabling high-accuracy calculation.</w:t>
      </w:r>
    </w:p>
    <w:p>
      <w:pPr>
        <w:pStyle w:val="BodyText"/>
      </w:pPr>
      <w:r>
        <w:rPr>
          <w:bCs/>
          <w:b/>
        </w:rPr>
        <w:t xml:space="preserve">BOM Identifier:</w:t>
      </w:r>
      <w:r>
        <w:t xml:space="preserve"> </w:t>
      </w:r>
      <w:r>
        <w:t xml:space="preserve">`pywswxdh`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C001</w:t>
            </w:r>
          </w:p>
        </w:tc>
        <w:tc>
          <w:tcPr/>
          <w:p>
            <w:pPr>
              <w:pStyle w:val="Compact"/>
              <w:jc w:val="left"/>
            </w:pPr>
            <w:r>
              <w:t xml:space="preserve">Housing 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3.50</w:t>
            </w:r>
          </w:p>
        </w:tc>
        <w:tc>
          <w:tcPr/>
          <w:p>
            <w:pPr>
              <w:pStyle w:val="Compact"/>
              <w:jc w:val="left"/>
            </w:pPr>
            <w:r>
              <w:t xml:space="preserve">2.63</w:t>
            </w:r>
          </w:p>
        </w:tc>
      </w:tr>
      <w:tr>
        <w:tc>
          <w:tcPr/>
          <w:p>
            <w:pPr>
              <w:pStyle w:val="Compact"/>
              <w:jc w:val="left"/>
            </w:pPr>
            <w:r>
              <w:t xml:space="preserve">C002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&amp; Annealing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4.20</w:t>
            </w:r>
          </w:p>
        </w:tc>
        <w:tc>
          <w:tcPr/>
          <w:p>
            <w:pPr>
              <w:pStyle w:val="Compact"/>
              <w:jc w:val="left"/>
            </w:pPr>
            <w:r>
              <w:t xml:space="preserve">0.21</w:t>
            </w:r>
          </w:p>
        </w:tc>
      </w:tr>
      <w:tr>
        <w:tc>
          <w:tcPr/>
          <w:p>
            <w:pPr>
              <w:pStyle w:val="Compact"/>
              <w:jc w:val="left"/>
            </w:pPr>
            <w:r>
              <w:t xml:space="preserve">C003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bl>
    <w:p>
      <w:pPr>
        <w:pStyle w:val="BodyText"/>
      </w:pPr>
      <w:r>
        <w:rPr>
          <w:iCs/>
          <w:i/>
        </w:rPr>
        <w:t xml:space="preserve">Note: The table above provides a structural example of BOM data. The actual BOM represented by `pywswxdh` would supply the precise numerical values for quantity, emission factor, and total carbon for all components used in tvhzsufuot.</w:t>
      </w:r>
    </w:p>
    <w:bookmarkEnd w:id="29"/>
    <w:bookmarkStart w:id="30" w:name="production-energy-data"/>
    <w:p>
      <w:pPr>
        <w:pStyle w:val="Heading3"/>
      </w:pPr>
      <w:r>
        <w:t xml:space="preserve">3.2. Production Energy Data</w:t>
      </w:r>
    </w:p>
    <w:p>
      <w:pPr>
        <w:numPr>
          <w:ilvl w:val="0"/>
          <w:numId w:val="1005"/>
        </w:numPr>
        <w:pStyle w:val="Compact"/>
      </w:pPr>
      <w:r>
        <w:rPr>
          <w:bCs/>
          <w:b/>
        </w:rPr>
        <w:t xml:space="preserve">Energy Intensity (kWh/unit):</w:t>
      </w:r>
      <w:r>
        <w:t xml:space="preserve"> </w:t>
      </w:r>
      <w:r>
        <w:t xml:space="preserve">`opuzrzwetu` kWh/unit</w:t>
      </w:r>
    </w:p>
    <w:p>
      <w:pPr>
        <w:numPr>
          <w:ilvl w:val="0"/>
          <w:numId w:val="1005"/>
        </w:numPr>
        <w:pStyle w:val="Compact"/>
      </w:pPr>
      <w:r>
        <w:rPr>
          <w:bCs/>
          <w:b/>
        </w:rPr>
        <w:t xml:space="preserve">Renewable Energy Usage:</w:t>
      </w:r>
      <w:r>
        <w:t xml:space="preserve"> </w:t>
      </w:r>
      <w:r>
        <w:t xml:space="preserve">`zuyfdjdzuw` % of total energy consumption in manufacturing.</w:t>
      </w:r>
    </w:p>
    <w:bookmarkEnd w:id="30"/>
    <w:bookmarkStart w:id="31" w:name="logistics-data"/>
    <w:p>
      <w:pPr>
        <w:pStyle w:val="Heading3"/>
      </w:pPr>
      <w:r>
        <w:t xml:space="preserve">3.3. Logistics Data</w:t>
      </w:r>
    </w:p>
    <w:p>
      <w:pPr>
        <w:numPr>
          <w:ilvl w:val="0"/>
          <w:numId w:val="1006"/>
        </w:numPr>
        <w:pStyle w:val="Compact"/>
      </w:pPr>
      <w:r>
        <w:rPr>
          <w:bCs/>
          <w:b/>
        </w:rPr>
        <w:t xml:space="preserve">Transport Mode:</w:t>
      </w:r>
      <w:r>
        <w:t xml:space="preserve"> </w:t>
      </w:r>
      <w:r>
        <w:t xml:space="preserve">`Select Mode`</w:t>
      </w:r>
    </w:p>
    <w:p>
      <w:pPr>
        <w:numPr>
          <w:ilvl w:val="0"/>
          <w:numId w:val="1006"/>
        </w:numPr>
        <w:pStyle w:val="Compact"/>
      </w:pPr>
      <w:r>
        <w:rPr>
          <w:bCs/>
          <w:b/>
        </w:rPr>
        <w:t xml:space="preserve">Transport Distance:</w:t>
      </w:r>
      <w:r>
        <w:t xml:space="preserve"> </w:t>
      </w:r>
      <w:r>
        <w:t xml:space="preserve">`mntqfrworl` km</w:t>
      </w:r>
    </w:p>
    <w:p>
      <w:pPr>
        <w:numPr>
          <w:ilvl w:val="0"/>
          <w:numId w:val="1006"/>
        </w:numPr>
        <w:pStyle w:val="Compact"/>
      </w:pPr>
      <w:r>
        <w:rPr>
          <w:bCs/>
          <w:b/>
        </w:rPr>
        <w:t xml:space="preserve">Last-Mile Delivery Channel:</w:t>
      </w:r>
      <w:r>
        <w:t xml:space="preserve"> </w:t>
      </w:r>
      <w:r>
        <w:t xml:space="preserve">`Delivery Type`</w:t>
      </w:r>
    </w:p>
    <w:bookmarkEnd w:id="31"/>
    <w:bookmarkStart w:id="32"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`drxoqytyew`</w:t>
      </w:r>
    </w:p>
    <w:p>
      <w:pPr>
        <w:numPr>
          <w:ilvl w:val="0"/>
          <w:numId w:val="1007"/>
        </w:numPr>
        <w:pStyle w:val="Compact"/>
      </w:pPr>
      <w:r>
        <w:rPr>
          <w:bCs/>
          <w:b/>
        </w:rPr>
        <w:t xml:space="preserve">Energy Consumption in Use:</w:t>
      </w:r>
      <w:r>
        <w:t xml:space="preserve"> </w:t>
      </w:r>
      <w:r>
        <w:t xml:space="preserve">`vejieojgzq`</w:t>
      </w:r>
    </w:p>
    <w:bookmarkEnd w:id="32"/>
    <w:bookmarkStart w:id="33"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`uguyjzxwet` %</w:t>
      </w:r>
    </w:p>
    <w:p>
      <w:pPr>
        <w:numPr>
          <w:ilvl w:val="0"/>
          <w:numId w:val="1008"/>
        </w:numPr>
        <w:pStyle w:val="Compact"/>
      </w:pPr>
      <w:r>
        <w:rPr>
          <w:bCs/>
          <w:b/>
        </w:rPr>
        <w:t xml:space="preserve">Circular/Take-back Programs:</w:t>
      </w:r>
      <w:r>
        <w:t xml:space="preserve"> </w:t>
      </w:r>
      <w:r>
        <w:t xml:space="preserve">`xmymzmdxdh` (e.g., \'Yes, active take-back program for key components\' or \'No specific programs\').</w:t>
      </w:r>
    </w:p>
    <w:bookmarkEnd w:id="33"/>
    <w:bookmarkStart w:id="34" w:name="emission-factors"/>
    <w:p>
      <w:pPr>
        <w:pStyle w:val="Heading3"/>
      </w:pPr>
      <w:r>
        <w:t xml:space="preserve">3.6. Emission Factors</w:t>
      </w:r>
    </w:p>
    <w:p>
      <w:pPr>
        <w:pStyle w:val="FirstParagraph"/>
      </w:pPr>
      <w:r>
        <w:t xml:space="preserve">Industry-standard emission factors are applied for all relevant processes, materials, and energy sources. These factors are typically sourced from recognized databases such as Ecoinvent or DEFRA, converted to kg CO2e per functional unit or activity unit.</w:t>
      </w:r>
    </w:p>
    <w:p>
      <w:r>
        <w:pict>
          <v:rect style="width:0;height:1.5pt" o:hralign="center" o:hrstd="t" o:hr="t"/>
        </w:pict>
      </w:r>
    </w:p>
    <w:bookmarkEnd w:id="34"/>
    <w:bookmarkEnd w:id="35"/>
    <w:bookmarkStart w:id="43" w:name="X439a6e6dcb43c636bf515ffaf3f59bce0bd6490"/>
    <w:p>
      <w:pPr>
        <w:pStyle w:val="Heading2"/>
      </w:pPr>
      <w:r>
        <w:t xml:space="preserve">4. Emission Calculation (Activity * Emission Factor = CO2e)</w:t>
      </w:r>
    </w:p>
    <w:p>
      <w:pPr>
        <w:pStyle w:val="FirstParagraph"/>
      </w:pPr>
      <w:r>
        <w:t xml:space="preserve">This section details the methodology for calculating emissions across the lifecycle stages, categorizing them according to the GHG Protocol.</w:t>
      </w:r>
    </w:p>
    <w:bookmarkStart w:id="36" w:name="X4e6afa4a0743b0f7bb8fa2c1085754eeb55c3e5"/>
    <w:p>
      <w:pPr>
        <w:pStyle w:val="Heading3"/>
      </w:pPr>
      <w:r>
        <w:t xml:space="preserve">4.1. Raw Material Acquisition &amp; Pre-processing (Scope 3)</w:t>
      </w:r>
    </w:p>
    <w:p>
      <w:pPr>
        <w:pStyle w:val="FirstParagraph"/>
      </w:pPr>
      <w:r>
        <w:t xml:space="preserve">Emissions from materials are calculated by multiplying the quantity of each material by its respective emission factor, or by using the provided \'Total Carbon\' values from the BOM. For this report, we conceptually apply this to the data represented by `pywswxdh`.</w:t>
      </w:r>
    </w:p>
    <w:p>
      <w:pPr>
        <w:pStyle w:val="BodyText"/>
      </w:pPr>
      <w:r>
        <w:rPr>
          <w:bCs/>
          <w:b/>
        </w:rPr>
        <w:t xml:space="preserve">Formula:</w:t>
      </w:r>
      <w:r>
        <w:t xml:space="preserve"> </w:t>
      </w:r>
      <w:r>
        <w:t xml:space="preserve">Material Emissions = Σ (Quantity of Material * Emission Factor of Material) or Σ (Total Carbon from BOM)</w:t>
      </w:r>
    </w:p>
    <w:p>
      <w:pPr>
        <w:pStyle w:val="BodyText"/>
      </w:pPr>
      <w:r>
        <w:t xml:space="preserve">Using the example BOM entries, the conceptual material footprint would be: (0.75 kg * 3.50 kg CO2e/kg) + (0.05 kg * 4.20 kg CO2e/kg) + (1.0 unit * 0.80 kg CO2e/unit) = 2.63 + 0.21 + 0.80 = 3.64 kg CO2e.</w:t>
      </w:r>
    </w:p>
    <w:p>
      <w:pPr>
        <w:pStyle w:val="BodyText"/>
      </w:pPr>
      <w:r>
        <w:t xml:space="preserve">Total Material Footprint: [Calculated Value] kg CO2e (Scope 3, Category 1)</w:t>
      </w:r>
    </w:p>
    <w:bookmarkEnd w:id="36"/>
    <w:bookmarkStart w:id="37" w:name="manufacturing-scope-1-2"/>
    <w:p>
      <w:pPr>
        <w:pStyle w:val="Heading3"/>
      </w:pPr>
      <w:r>
        <w:t xml:space="preserve">4.2. Manufacturing (Scope 1 &amp; 2)</w:t>
      </w:r>
    </w:p>
    <w:p>
      <w:pPr>
        <w:pStyle w:val="FirstParagraph"/>
      </w:pPr>
      <w:r>
        <w:t xml:space="preserve">Direct (Scope 1) and indirect (Scope 2) emissions from manufacturing are calculated based on energy consumption and process emissions.</w:t>
      </w:r>
    </w:p>
    <w:p>
      <w:pPr>
        <w:numPr>
          <w:ilvl w:val="0"/>
          <w:numId w:val="1009"/>
        </w:numPr>
        <w:pStyle w:val="Compact"/>
      </w:pPr>
      <w:r>
        <w:rPr>
          <w:bCs/>
          <w:b/>
        </w:rPr>
        <w:t xml:space="preserve">Energy Consumption:</w:t>
      </w:r>
      <w:r>
        <w:t xml:space="preserve"> </w:t>
      </w:r>
      <w:r>
        <w:t xml:space="preserve">`opuzrzwetu` kWh/unit</w:t>
      </w:r>
    </w:p>
    <w:p>
      <w:pPr>
        <w:numPr>
          <w:ilvl w:val="0"/>
          <w:numId w:val="1009"/>
        </w:numPr>
        <w:pStyle w:val="Compact"/>
      </w:pPr>
      <w:r>
        <w:rPr>
          <w:bCs/>
          <w:b/>
        </w:rPr>
        <w:t xml:space="preserve">Renewable Energy Usage:</w:t>
      </w:r>
      <w:r>
        <w:t xml:space="preserve"> </w:t>
      </w:r>
      <w:r>
        <w:t xml:space="preserve">`zuyfdjdzuw` %</w:t>
      </w:r>
    </w:p>
    <w:p>
      <w:pPr>
        <w:numPr>
          <w:ilvl w:val="0"/>
          <w:numId w:val="1009"/>
        </w:numPr>
        <w:pStyle w:val="Compact"/>
      </w:pPr>
      <w:r>
        <w:rPr>
          <w:bCs/>
          <w:b/>
        </w:rPr>
        <w:t xml:space="preserve">Grid Electricity Emission Factor:</w:t>
      </w:r>
      <w:r>
        <w:t xml:space="preserve"> </w:t>
      </w:r>
      <w:r>
        <w:t xml:space="preserve">[EF_Grid_Electricity] kg CO2e/kWh (e.g., specific to China\'s grid mix)</w:t>
      </w:r>
    </w:p>
    <w:p>
      <w:pPr>
        <w:numPr>
          <w:ilvl w:val="0"/>
          <w:numId w:val="1009"/>
        </w:numPr>
        <w:pStyle w:val="Compact"/>
      </w:pPr>
      <w:r>
        <w:rPr>
          <w:bCs/>
          <w:b/>
        </w:rPr>
        <w:t xml:space="preserve">Renewable Electricity Emission Factor:</w:t>
      </w:r>
      <w:r>
        <w:t xml:space="preserve"> </w:t>
      </w:r>
      <w:r>
        <w:t xml:space="preserve">[EF_Renewable_Electricity] kg CO2e/kWh (typically ~0 for certified renewables)</w:t>
      </w:r>
    </w:p>
    <w:p>
      <w:pPr>
        <w:pStyle w:val="FirstParagraph"/>
      </w:pPr>
      <w:r>
        <w:rPr>
          <w:bCs/>
          <w:b/>
        </w:rPr>
        <w:t xml:space="preserve">Calculations:</w:t>
      </w:r>
    </w:p>
    <w:p>
      <w:pPr>
        <w:pStyle w:val="BodyText"/>
      </w:pPr>
      <w:r>
        <w:t xml:space="preserve">Purchased Electricity Emissions (Scope 2) = `opuzrzwetu` kWh/unit * (1 - (`zuyfdjdzuw` / 100)) * [EF_Grid_Electricity] kg CO2e/kWh</w:t>
      </w:r>
    </w:p>
    <w:p>
      <w:pPr>
        <w:pStyle w:val="BodyText"/>
      </w:pPr>
      <w:r>
        <w:t xml:space="preserve">Direct Process Emissions (Scope 1) = [If applicable, e.g., fugitives, specific chemical reactions] kg CO2e</w:t>
      </w:r>
    </w:p>
    <w:p>
      <w:pPr>
        <w:pStyle w:val="BodyText"/>
      </w:pPr>
      <w:r>
        <w:t xml:space="preserve">Total Manufacturing Footprint: [Calculated Value] kg CO2e (Scope 1 + Scope 2)</w:t>
      </w:r>
    </w:p>
    <w:bookmarkEnd w:id="37"/>
    <w:bookmarkStart w:id="38" w:name="transport-scope-3"/>
    <w:p>
      <w:pPr>
        <w:pStyle w:val="Heading3"/>
      </w:pPr>
      <w:r>
        <w:t xml:space="preserve">4.3. Transport (Scope 3)</w:t>
      </w:r>
    </w:p>
    <w:p>
      <w:pPr>
        <w:pStyle w:val="FirstParagraph"/>
      </w:pPr>
      <w:r>
        <w:t xml:space="preserve">Transport emissions are calculated by considering the distance, mode of transport, and associated emission factors.</w:t>
      </w:r>
    </w:p>
    <w:p>
      <w:pPr>
        <w:numPr>
          <w:ilvl w:val="0"/>
          <w:numId w:val="1010"/>
        </w:numPr>
        <w:pStyle w:val="Compact"/>
      </w:pPr>
      <w:r>
        <w:rPr>
          <w:bCs/>
          <w:b/>
        </w:rPr>
        <w:t xml:space="preserve">Transport Mode:</w:t>
      </w:r>
      <w:r>
        <w:t xml:space="preserve"> </w:t>
      </w:r>
      <w:r>
        <w:t xml:space="preserve">`Select Mode`</w:t>
      </w:r>
    </w:p>
    <w:p>
      <w:pPr>
        <w:numPr>
          <w:ilvl w:val="0"/>
          <w:numId w:val="1010"/>
        </w:numPr>
        <w:pStyle w:val="Compact"/>
      </w:pPr>
      <w:r>
        <w:rPr>
          <w:bCs/>
          <w:b/>
        </w:rPr>
        <w:t xml:space="preserve">Transport Distance:</w:t>
      </w:r>
      <w:r>
        <w:t xml:space="preserve"> </w:t>
      </w:r>
      <w:r>
        <w:t xml:space="preserve">`mntqfrworl` km</w:t>
      </w:r>
    </w:p>
    <w:p>
      <w:pPr>
        <w:numPr>
          <w:ilvl w:val="0"/>
          <w:numId w:val="1010"/>
        </w:numPr>
        <w:pStyle w:val="Compact"/>
      </w:pPr>
      <w:r>
        <w:rPr>
          <w:bCs/>
          <w:b/>
        </w:rPr>
        <w:t xml:space="preserve">Last-Mile Delivery Channel:</w:t>
      </w:r>
      <w:r>
        <w:t xml:space="preserve"> </w:t>
      </w:r>
      <w:r>
        <w:t xml:space="preserve">`Delivery Type`</w:t>
      </w:r>
    </w:p>
    <w:p>
      <w:pPr>
        <w:numPr>
          <w:ilvl w:val="0"/>
          <w:numId w:val="1010"/>
        </w:numPr>
        <w:pStyle w:val="Compact"/>
      </w:pPr>
      <w:r>
        <w:rPr>
          <w:bCs/>
          <w:b/>
        </w:rPr>
        <w:t xml:space="preserve">Emission Factor for Primary Transport:</w:t>
      </w:r>
      <w:r>
        <w:t xml:space="preserve"> </w:t>
      </w:r>
      <w:r>
        <w:t xml:space="preserve">[EF_Select_Mode] kg CO2e/tkm (e.g., specific to assumed truck/rail)</w:t>
      </w:r>
    </w:p>
    <w:p>
      <w:pPr>
        <w:numPr>
          <w:ilvl w:val="0"/>
          <w:numId w:val="1010"/>
        </w:numPr>
        <w:pStyle w:val="Compact"/>
      </w:pPr>
      <w:r>
        <w:rPr>
          <w:bCs/>
          <w:b/>
        </w:rPr>
        <w:t xml:space="preserve">Emission Factor for Last-Mile Delivery:</w:t>
      </w:r>
      <w:r>
        <w:t xml:space="preserve"> </w:t>
      </w:r>
      <w:r>
        <w:t xml:space="preserve">[EF_Delivery_Type] kg CO2e/unit-km (e.g., specific to assumed van/electric vehicle)</w:t>
      </w:r>
    </w:p>
    <w:p>
      <w:pPr>
        <w:pStyle w:val="FirstParagraph"/>
      </w:pPr>
      <w:r>
        <w:rPr>
          <w:bCs/>
          <w:b/>
        </w:rPr>
        <w:t xml:space="preserve">Calculations:</w:t>
      </w:r>
    </w:p>
    <w:p>
      <w:pPr>
        <w:pStyle w:val="BodyText"/>
      </w:pPr>
      <w:r>
        <w:t xml:space="preserve">Upstream Transport Emissions (Scope 3, Category 4) = [Weight of raw materials] kg * `mntqfrworl` km * [EF_Select_Mode] kg CO2e/tkm</w:t>
      </w:r>
    </w:p>
    <w:p>
      <w:pPr>
        <w:pStyle w:val="BodyText"/>
      </w:pPr>
      <w:r>
        <w:t xml:space="preserve">Downstream Transport Emissions (Scope 3, Category 9) = [Weight of finished product] kg * `mntqfrworl` km * [EF_Select_Mode] kg CO2e/tkm + [Weight of product] kg * [Last-Mile Distance] km * [EF_Delivery_Type] kg CO2e/tkm</w:t>
      </w:r>
    </w:p>
    <w:p>
      <w:pPr>
        <w:pStyle w:val="BodyText"/>
      </w:pPr>
      <w:r>
        <w:t xml:space="preserve">Total Transport Footprint: [Calculated Value] kg CO2e (Scope 3)</w:t>
      </w:r>
    </w:p>
    <w:bookmarkEnd w:id="38"/>
    <w:bookmarkStart w:id="39" w:name="use-phase-scope-3"/>
    <w:p>
      <w:pPr>
        <w:pStyle w:val="Heading3"/>
      </w:pPr>
      <w:r>
        <w:t xml:space="preserve">4.4. Use Phase (Scope 3)</w:t>
      </w:r>
    </w:p>
    <w:p>
      <w:pPr>
        <w:pStyle w:val="FirstParagraph"/>
      </w:pPr>
      <w:r>
        <w:t xml:space="preserve">Emissions from the use phase are determined by the product\'s lifespan and its energy consumption during that period.</w:t>
      </w:r>
    </w:p>
    <w:p>
      <w:pPr>
        <w:numPr>
          <w:ilvl w:val="0"/>
          <w:numId w:val="1011"/>
        </w:numPr>
        <w:pStyle w:val="Compact"/>
      </w:pPr>
      <w:r>
        <w:rPr>
          <w:bCs/>
          <w:b/>
        </w:rPr>
        <w:t xml:space="preserve">Product Lifespan:</w:t>
      </w:r>
      <w:r>
        <w:t xml:space="preserve"> </w:t>
      </w:r>
      <w:r>
        <w:t xml:space="preserve">`drxoqytyew`</w:t>
      </w:r>
    </w:p>
    <w:p>
      <w:pPr>
        <w:numPr>
          <w:ilvl w:val="0"/>
          <w:numId w:val="1011"/>
        </w:numPr>
        <w:pStyle w:val="Compact"/>
      </w:pPr>
      <w:r>
        <w:rPr>
          <w:bCs/>
          <w:b/>
        </w:rPr>
        <w:t xml:space="preserve">Energy Consumption in Use:</w:t>
      </w:r>
      <w:r>
        <w:t xml:space="preserve"> </w:t>
      </w:r>
      <w:r>
        <w:t xml:space="preserve">`vejieojgzq` (e.g., kWh/year)</w:t>
      </w:r>
    </w:p>
    <w:p>
      <w:pPr>
        <w:numPr>
          <w:ilvl w:val="0"/>
          <w:numId w:val="1011"/>
        </w:numPr>
        <w:pStyle w:val="Compact"/>
      </w:pPr>
      <w:r>
        <w:rPr>
          <w:bCs/>
          <w:b/>
        </w:rPr>
        <w:t xml:space="preserve">User Electricity Emission Factor:</w:t>
      </w:r>
      <w:r>
        <w:t xml:space="preserve"> </w:t>
      </w:r>
      <w:r>
        <w:t xml:space="preserve">[EF_User_Electricity] kg CO2e/kWh (e.g., average grid mix for Europe Focused supply chain)</w:t>
      </w:r>
    </w:p>
    <w:p>
      <w:pPr>
        <w:pStyle w:val="FirstParagraph"/>
      </w:pPr>
      <w:r>
        <w:rPr>
          <w:bCs/>
          <w:b/>
        </w:rPr>
        <w:t xml:space="preserve">Calculations:</w:t>
      </w:r>
    </w:p>
    <w:p>
      <w:pPr>
        <w:pStyle w:val="BodyText"/>
      </w:pPr>
      <w:r>
        <w:t xml:space="preserve">Use Phase Emissions (Scope 3, Category 11) = `vejieojgzq` * (`drxoqytyew` in years) * [EF_User_Electricity] kg CO2e/kWh</w:t>
      </w:r>
    </w:p>
    <w:p>
      <w:pPr>
        <w:pStyle w:val="BodyText"/>
      </w:pPr>
      <w:r>
        <w:t xml:space="preserve">Total Use Phase Footprint: [Calculated Value] kg CO2e (Scope 3)</w:t>
      </w:r>
    </w:p>
    <w:bookmarkEnd w:id="39"/>
    <w:bookmarkStart w:id="40" w:name="end-of-life-eol-scope-3"/>
    <w:p>
      <w:pPr>
        <w:pStyle w:val="Heading3"/>
      </w:pPr>
      <w:r>
        <w:t xml:space="preserve">4.5. End-of-Life (EoL) (Scope 3)</w:t>
      </w:r>
    </w:p>
    <w:p>
      <w:pPr>
        <w:pStyle w:val="FirstParagraph"/>
      </w:pPr>
      <w:r>
        <w:t xml:space="preserve">EoL calculations consider emissions from disposal and potential avoided emissions from recycling or circular programs.</w:t>
      </w:r>
    </w:p>
    <w:p>
      <w:pPr>
        <w:numPr>
          <w:ilvl w:val="0"/>
          <w:numId w:val="1012"/>
        </w:numPr>
        <w:pStyle w:val="Compact"/>
      </w:pPr>
      <w:r>
        <w:rPr>
          <w:bCs/>
          <w:b/>
        </w:rPr>
        <w:t xml:space="preserve">Recyclability Percentage:</w:t>
      </w:r>
      <w:r>
        <w:t xml:space="preserve"> </w:t>
      </w:r>
      <w:r>
        <w:t xml:space="preserve">`uguyjzxwet` %</w:t>
      </w:r>
    </w:p>
    <w:p>
      <w:pPr>
        <w:numPr>
          <w:ilvl w:val="0"/>
          <w:numId w:val="1012"/>
        </w:numPr>
        <w:pStyle w:val="Compact"/>
      </w:pPr>
      <w:r>
        <w:rPr>
          <w:bCs/>
          <w:b/>
        </w:rPr>
        <w:t xml:space="preserve">Circular/Take-back Programs:</w:t>
      </w:r>
      <w:r>
        <w:t xml:space="preserve"> </w:t>
      </w:r>
      <w:r>
        <w:t xml:space="preserve">`xmymzmdxdh`</w:t>
      </w:r>
    </w:p>
    <w:p>
      <w:pPr>
        <w:numPr>
          <w:ilvl w:val="0"/>
          <w:numId w:val="1012"/>
        </w:numPr>
        <w:pStyle w:val="Compact"/>
      </w:pPr>
      <w:r>
        <w:rPr>
          <w:bCs/>
          <w:b/>
        </w:rPr>
        <w:t xml:space="preserve">Disposal Emission Factor:</w:t>
      </w:r>
      <w:r>
        <w:t xml:space="preserve"> </w:t>
      </w:r>
      <w:r>
        <w:t xml:space="preserve">[EF_Disposal] kg CO2e/kg (e.g., landfill, incineration)</w:t>
      </w:r>
    </w:p>
    <w:p>
      <w:pPr>
        <w:numPr>
          <w:ilvl w:val="0"/>
          <w:numId w:val="1012"/>
        </w:numPr>
        <w:pStyle w:val="Compact"/>
      </w:pPr>
      <w:r>
        <w:rPr>
          <w:bCs/>
          <w:b/>
        </w:rPr>
        <w:t xml:space="preserve">Recycling Avoided Emission Factor:</w:t>
      </w:r>
      <w:r>
        <w:t xml:space="preserve"> </w:t>
      </w:r>
      <w:r>
        <w:t xml:space="preserve">[AEF_Recycling] kg CO2e/kg (potential credit for recycled materials offsetting virgin production)</w:t>
      </w:r>
    </w:p>
    <w:p>
      <w:pPr>
        <w:pStyle w:val="FirstParagraph"/>
      </w:pPr>
      <w:r>
        <w:rPr>
          <w:bCs/>
          <w:b/>
        </w:rPr>
        <w:t xml:space="preserve">Calculations:</w:t>
      </w:r>
    </w:p>
    <w:p>
      <w:pPr>
        <w:pStyle w:val="BodyText"/>
      </w:pPr>
      <w:r>
        <w:t xml:space="preserve">EoL Emissions (Disposal) = [Mass of non-recycled materials] kg * [EF_Disposal] kg CO2e/kg</w:t>
      </w:r>
    </w:p>
    <w:p>
      <w:pPr>
        <w:pStyle w:val="BodyText"/>
      </w:pPr>
      <w:r>
        <w:t xml:space="preserve">EoL Credits (Recycling) = [Mass of recycled materials] kg * [AEF_Recycling] kg CO2e/kg</w:t>
      </w:r>
    </w:p>
    <w:p>
      <w:pPr>
        <w:pStyle w:val="BodyText"/>
      </w:pPr>
      <w:r>
        <w:t xml:space="preserve">Considering `uguyjzxwet` % recyclability and `xmymzmdxdh` programs, the net EoL impact is calculated.</w:t>
      </w:r>
    </w:p>
    <w:p>
      <w:pPr>
        <w:pStyle w:val="BodyText"/>
      </w:pPr>
      <w:r>
        <w:t xml:space="preserve">Total End-of-Life Footprint: [Calculated Value] kg CO2e (Scope 3, net of credits)</w:t>
      </w:r>
    </w:p>
    <w:bookmarkEnd w:id="40"/>
    <w:bookmarkStart w:id="41" w:name="Xd781d47398c677bf23d766f7a5f5a2a1c99923e"/>
    <w:p>
      <w:pPr>
        <w:pStyle w:val="Heading3"/>
      </w:pPr>
      <w:r>
        <w:t xml:space="preserve">4.6. GHG Protocol 2026 Land Sector and Removals (LSR) Update</w:t>
      </w:r>
    </w:p>
    <w:p>
      <w:pPr>
        <w:pStyle w:val="FirstParagraph"/>
      </w:pPr>
      <w:r>
        <w:t xml:space="preserve">The 2026 Land Sector and Removals (LSR) Standard, effective January 1, 2027, is designed to account for land-sector emissions and CO₂ removals. For product-level assessments, this primarily involves ensuring that any bio-based materials or processes with direct land-use change impacts (e.g., from agricultural feedstocks or forestry products) have their associated carbon removals and emissions accurately accounted for within Scope 3. The LSR Standard provides a framework for companies to account for land emissions based on traceability and data availability. Since specific land-use data is not provided for tvhzsufuot\'s materials, it is assumed that standard emission factors for raw materials already embed typical land-use impacts. If tvhzsufuot incorporated bio-based materials with significant land-use change, these would be quantified and reported separately under relevant Scope 3 categories or as removals where applicable. Forest carbon accounting is not included in the current version of the LSR Standard.</w:t>
      </w:r>
    </w:p>
    <w:bookmarkEnd w:id="41"/>
    <w:bookmarkStart w:id="42" w:name="scope-3-compliance"/>
    <w:p>
      <w:pPr>
        <w:pStyle w:val="Heading3"/>
      </w:pPr>
      <w:r>
        <w:t xml:space="preserve">4.7. Scope 3 Compliance</w:t>
      </w:r>
    </w:p>
    <w:p>
      <w:pPr>
        <w:pStyle w:val="FirstParagraph"/>
      </w:pPr>
      <w:r>
        <w:t xml:space="preserve">By comprehensively covering raw materials, all transport stages, the use phase, and end-of-life, the report aims to ensure at least 95% coverage for Scope 3 reporting, aligning with 2026 requirements. Specific data gaps for individual parameters are noted, and for a full compliance report, these would need to be addressed with primary data or robust secondary data sources.</w:t>
      </w:r>
    </w:p>
    <w:p>
      <w:r>
        <w:pict>
          <v:rect style="width:0;height:1.5pt" o:hralign="center" o:hrstd="t" o:hr="t"/>
        </w:pict>
      </w:r>
    </w:p>
    <w:bookmarkEnd w:id="42"/>
    <w:bookmarkEnd w:id="43"/>
    <w:bookmarkStart w:id="47" w:name="review-report"/>
    <w:p>
      <w:pPr>
        <w:pStyle w:val="Heading2"/>
      </w:pPr>
      <w:r>
        <w:t xml:space="preserve">5. Review &amp; Report</w:t>
      </w:r>
    </w:p>
    <w:bookmarkStart w:id="44" w:name="summary-of-carbon-footprint"/>
    <w:p>
      <w:pPr>
        <w:pStyle w:val="Heading3"/>
      </w:pPr>
      <w:r>
        <w:t xml:space="preserve">5.1. Summary of Carbon Footprint</w:t>
      </w:r>
    </w:p>
    <w:p>
      <w:pPr>
        <w:pStyle w:val="FirstParagraph"/>
      </w:pPr>
      <w:r>
        <w:t xml:space="preserve">Based on the defined scope, data, and methodology, the estimated Product Carbon Footprint for one functional unit of tvhzsufuot is summarized below. Due to the placeholder nature of some input parameters, specific numerical results are illustrative, and a full quantitative analysis requires numerical data for all parameters.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[Calculated Value based on BOM example]</w:t>
            </w:r>
          </w:p>
        </w:tc>
      </w:tr>
      <w:tr>
        <w:tc>
          <w:tcPr/>
          <w:p>
            <w:pPr>
              <w:pStyle w:val="Compact"/>
              <w:jc w:val="left"/>
            </w:pPr>
            <w:r>
              <w:t xml:space="preserve">Manufacturing (Production)</w:t>
            </w:r>
          </w:p>
        </w:tc>
        <w:tc>
          <w:tcPr/>
          <w:p>
            <w:pPr>
              <w:pStyle w:val="Compact"/>
              <w:jc w:val="left"/>
            </w:pPr>
            <w:r>
              <w:t xml:space="preserve">Scope 1 &amp; 2</w:t>
            </w:r>
          </w:p>
        </w:tc>
        <w:tc>
          <w:tcPr/>
          <w:p>
            <w:pPr>
              <w:pStyle w:val="Compact"/>
              <w:jc w:val="left"/>
            </w:pPr>
            <w:r>
              <w:t xml:space="preserve">[Calculated Value based on energy data]</w:t>
            </w:r>
          </w:p>
        </w:tc>
      </w:tr>
      <w:tr>
        <w:tc>
          <w:tcPr/>
          <w:p>
            <w:pPr>
              <w:pStyle w:val="Compact"/>
              <w:jc w:val="left"/>
            </w:pPr>
            <w:r>
              <w:t xml:space="preserve">Transport (Upstream &amp; Downstream)</w:t>
            </w:r>
          </w:p>
        </w:tc>
        <w:tc>
          <w:tcPr/>
          <w:p>
            <w:pPr>
              <w:pStyle w:val="Compact"/>
              <w:jc w:val="left"/>
            </w:pPr>
            <w:r>
              <w:t xml:space="preserve">Scope 3 (Categories 4, 9)</w:t>
            </w:r>
          </w:p>
        </w:tc>
        <w:tc>
          <w:tcPr/>
          <w:p>
            <w:pPr>
              <w:pStyle w:val="Compact"/>
              <w:jc w:val="left"/>
            </w:pPr>
            <w:r>
              <w:t xml:space="preserve">[Calculated Value based on logistics data]</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[Calculated Value based on lifespan &amp; consumption]</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[Calculated Value based on recyclability &amp; programs]</w:t>
            </w:r>
          </w:p>
        </w:tc>
      </w:tr>
      <w:tr>
        <w:tc>
          <w:tcPr/>
          <w:p>
            <w:pPr>
              <w:pStyle w:val="Compact"/>
              <w:jc w:val="left"/>
            </w:pPr>
            <w:r>
              <w:t xml:space="preserve">Total Product Carbon Footprint</w:t>
            </w:r>
          </w:p>
        </w:tc>
        <w:tc>
          <w:tcPr/>
          <w:p>
            <w:pPr>
              <w:pStyle w:val="Compact"/>
            </w:pPr>
          </w:p>
        </w:tc>
        <w:tc>
          <w:tcPr/>
          <w:p>
            <w:pPr>
              <w:pStyle w:val="Compact"/>
              <w:jc w:val="left"/>
            </w:pPr>
            <w:r>
              <w:t xml:space="preserve">[Sum of all stages] kg CO2e</w:t>
            </w:r>
          </w:p>
        </w:tc>
      </w:tr>
    </w:tbl>
    <w:bookmarkEnd w:id="44"/>
    <w:bookmarkStart w:id="45" w:name="emission-hotspots-and-recommendations"/>
    <w:p>
      <w:pPr>
        <w:pStyle w:val="Heading3"/>
      </w:pPr>
      <w:r>
        <w:t xml:space="preserve">5.2. Emission Hotspots and Recommendations</w:t>
      </w:r>
    </w:p>
    <w:p>
      <w:pPr>
        <w:pStyle w:val="FirstParagraph"/>
      </w:pPr>
      <w:r>
        <w:t xml:space="preserve">Based on a complete quantitative analysis, emission hotspots would typically be identified in stages with the highest CO2e contributions. Common hotspots include:</w:t>
      </w:r>
    </w:p>
    <w:p>
      <w:pPr>
        <w:numPr>
          <w:ilvl w:val="0"/>
          <w:numId w:val="1013"/>
        </w:numPr>
        <w:pStyle w:val="Compact"/>
      </w:pPr>
      <w:r>
        <w:rPr>
          <w:bCs/>
          <w:b/>
        </w:rPr>
        <w:t xml:space="preserve">Raw Material Sourcing:</w:t>
      </w:r>
      <w:r>
        <w:t xml:space="preserve"> </w:t>
      </w:r>
      <w:r>
        <w:t xml:space="preserve">Particularly for energy-intensive materials (e.g., certain metals, complex plastics) or those from high-emission processes.</w:t>
      </w:r>
      <w:r>
        <w:br/>
      </w:r>
      <w:r>
        <w:rPr>
          <w:iCs/>
          <w:i/>
        </w:rPr>
        <w:t xml:space="preserve">Recommendation:</w:t>
      </w:r>
      <w:r>
        <w:t xml:space="preserve"> </w:t>
      </w:r>
      <w:r>
        <w:t xml:space="preserve">Explore alternative low-carbon materials, increase recycled content, and engage with suppliers on their decarbonization efforts.</w:t>
      </w:r>
    </w:p>
    <w:p>
      <w:pPr>
        <w:numPr>
          <w:ilvl w:val="0"/>
          <w:numId w:val="1013"/>
        </w:numPr>
        <w:pStyle w:val="Compact"/>
      </w:pPr>
      <w:r>
        <w:rPr>
          <w:bCs/>
          <w:b/>
        </w:rPr>
        <w:t xml:space="preserve">Manufacturing Energy:</w:t>
      </w:r>
      <w:r>
        <w:t xml:space="preserve"> </w:t>
      </w:r>
      <w:r>
        <w:t xml:space="preserve">If a significant portion of energy is from non-renewable sources.</w:t>
      </w:r>
      <w:r>
        <w:br/>
      </w:r>
      <w:r>
        <w:rPr>
          <w:iCs/>
          <w:i/>
        </w:rPr>
        <w:t xml:space="preserve">Recommendation:</w:t>
      </w:r>
      <w:r>
        <w:t xml:space="preserve"> </w:t>
      </w:r>
      <w:r>
        <w:t xml:space="preserve">Increase renewable energy procurement (`zuyfdjdzuw`), invest in energy efficiency measures, and consider on-site renewable generation.</w:t>
      </w:r>
    </w:p>
    <w:p>
      <w:pPr>
        <w:numPr>
          <w:ilvl w:val="0"/>
          <w:numId w:val="1013"/>
        </w:numPr>
        <w:pStyle w:val="Compact"/>
      </w:pPr>
      <w:r>
        <w:rPr>
          <w:bCs/>
          <w:b/>
        </w:rPr>
        <w:t xml:space="preserve">Transportation:</w:t>
      </w:r>
      <w:r>
        <w:t xml:space="preserve"> </w:t>
      </w:r>
      <w:r>
        <w:t xml:space="preserve">Especially over long distances (`mntqfrworl`) or with high-emission modes (`Select Mode`, `Delivery Type`).</w:t>
      </w:r>
      <w:r>
        <w:br/>
      </w:r>
      <w:r>
        <w:rPr>
          <w:iCs/>
          <w:i/>
        </w:rPr>
        <w:t xml:space="preserve">Recommendation:</w:t>
      </w:r>
      <w:r>
        <w:t xml:space="preserve"> </w:t>
      </w:r>
      <w:r>
        <w:t xml:space="preserve">Optimize logistics routes, shift to lower-emission transport modes (e.g., rail over road), consolidate shipments, and explore electric last-mile delivery.</w:t>
      </w:r>
    </w:p>
    <w:p>
      <w:pPr>
        <w:numPr>
          <w:ilvl w:val="0"/>
          <w:numId w:val="1013"/>
        </w:numPr>
        <w:pStyle w:val="Compact"/>
      </w:pPr>
      <w:r>
        <w:rPr>
          <w:bCs/>
          <w:b/>
        </w:rPr>
        <w:t xml:space="preserve">Use Phase Energy Consumption:</w:t>
      </w:r>
      <w:r>
        <w:t xml:space="preserve"> </w:t>
      </w:r>
      <w:r>
        <w:t xml:space="preserve">For products with long lifespans and continuous energy draw.</w:t>
      </w:r>
      <w:r>
        <w:br/>
      </w:r>
      <w:r>
        <w:rPr>
          <w:iCs/>
          <w:i/>
        </w:rPr>
        <w:t xml:space="preserve">Recommendation:</w:t>
      </w:r>
      <w:r>
        <w:t xml:space="preserve"> </w:t>
      </w:r>
      <w:r>
        <w:t xml:space="preserve">Optimize product design for energy efficiency (`vejieojgzq`), provide user guidance for sustainable use, and consider smart energy features.</w:t>
      </w:r>
    </w:p>
    <w:bookmarkEnd w:id="45"/>
    <w:bookmarkStart w:id="46" w:name="reliability-and-limitations"/>
    <w:p>
      <w:pPr>
        <w:pStyle w:val="Heading3"/>
      </w:pPr>
      <w:r>
        <w:t xml:space="preserve">5.3. Reliability and Limitations</w:t>
      </w:r>
    </w:p>
    <w:p>
      <w:pPr>
        <w:pStyle w:val="FirstParagraph"/>
      </w:pPr>
      <w:r>
        <w:t xml:space="preserve">This report provides a structured framework for the PCF of tvhzsufuot based on the GHG Protocol. The accuracy of the final quantitative results is directly dependent on the quality and completeness of the input data.</w:t>
      </w:r>
    </w:p>
    <w:p>
      <w:pPr>
        <w:numPr>
          <w:ilvl w:val="0"/>
          <w:numId w:val="1014"/>
        </w:numPr>
        <w:pStyle w:val="Compact"/>
      </w:pPr>
      <w:r>
        <w:rPr>
          <w:bCs/>
          <w:b/>
        </w:rPr>
        <w:t xml:space="preserve">Data Specificity:</w:t>
      </w:r>
      <w:r>
        <w:t xml:space="preserve"> </w:t>
      </w:r>
      <w:r>
        <w:t xml:space="preserve">The analysis utilizes the provided parameters, including placeholder strings for key data points. A fully quantified PCF requires specific numerical values for BOM components (Qty, Emission Factor, Total Carbon), transport distances and modes, energy consumption figures, and EoL scenarios.</w:t>
      </w:r>
    </w:p>
    <w:p>
      <w:pPr>
        <w:numPr>
          <w:ilvl w:val="0"/>
          <w:numId w:val="1014"/>
        </w:numPr>
        <w:pStyle w:val="Compact"/>
      </w:pPr>
      <w:r>
        <w:rPr>
          <w:bCs/>
          <w:b/>
        </w:rPr>
        <w:t xml:space="preserve">Emission Factors:</w:t>
      </w:r>
      <w:r>
        <w:t xml:space="preserve"> </w:t>
      </w:r>
      <w:r>
        <w:t xml:space="preserve">While industry-standard emission factors are conceptually applied, specific factors relevant to the precise geographic location (China for production, Europe for supply chain focus) and material/process are critical for high accuracy.</w:t>
      </w:r>
    </w:p>
    <w:p>
      <w:pPr>
        <w:numPr>
          <w:ilvl w:val="0"/>
          <w:numId w:val="1014"/>
        </w:numPr>
        <w:pStyle w:val="Compact"/>
      </w:pPr>
      <w:r>
        <w:rPr>
          <w:bCs/>
          <w:b/>
        </w:rPr>
        <w:t xml:space="preserve">System Boundary:</w:t>
      </w:r>
      <w:r>
        <w:t xml:space="preserve"> </w:t>
      </w:r>
      <w:r>
        <w:t xml:space="preserve">The "factory_gate" boundary for the formal PCF is expanded to cradle-to-grave for comprehensive Scope 3 analysis, but the level of detail for downstream stages depends on available data.</w:t>
      </w:r>
    </w:p>
    <w:p>
      <w:pPr>
        <w:numPr>
          <w:ilvl w:val="0"/>
          <w:numId w:val="1014"/>
        </w:numPr>
        <w:pStyle w:val="Compact"/>
      </w:pPr>
      <w:r>
        <w:rPr>
          <w:bCs/>
          <w:b/>
        </w:rPr>
        <w:t xml:space="preserve">LSR Standard:</w:t>
      </w:r>
      <w:r>
        <w:t xml:space="preserve"> </w:t>
      </w:r>
      <w:r>
        <w:t xml:space="preserve">The application of the 2026 LSR Standard is primarily conceptual without specific land-use change data tied to raw material sourcing.</w:t>
      </w:r>
    </w:p>
    <w:p>
      <w:pPr>
        <w:pStyle w:val="FirstParagraph"/>
      </w:pPr>
      <w:r>
        <w:t xml:space="preserve">Further primary data collection and engagement with suppliers and logistics partners will enhance the accuracy and robustness of future PCF assessments.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tvhzsufuot</dc:title>
  <dc:creator/>
  <dc:description>Detailed Product Carbon Footprint (PCF) analysis report for product tvhzsufuot by iljlkvprju, following GHG Protocol standards.</dc:description>
  <dc:language>en</dc:language>
  <cp:keywords/>
  <dcterms:created xsi:type="dcterms:W3CDTF">2026-07-16T20:04:21Z</dcterms:created>
  <dcterms:modified xsi:type="dcterms:W3CDTF">2026-07-16T20:04:21Z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