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tukplhfjnx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tukplhfjnx</w:t>
      </w:r>
    </w:p>
    <w:p>
      <w:pPr>
        <w:pStyle w:val="BodyText"/>
      </w:pPr>
      <w:r>
        <w:t xml:space="preserve">Company Name:</w:t>
      </w:r>
      <w:r>
        <w:t xml:space="preserve"> </w:t>
      </w:r>
      <w:r>
        <w:rPr>
          <w:bCs/>
          <w:b/>
        </w:rPr>
        <w:t xml:space="preserve">iwskeekiwx</w:t>
      </w:r>
    </w:p>
    <w:p>
      <w:pPr>
        <w:pStyle w:val="BodyText"/>
      </w:pPr>
      <w:r>
        <w:t xml:space="preserve">Protocol Data (Accounting Standard):</w:t>
      </w:r>
      <w:r>
        <w:t xml:space="preserve"> </w:t>
      </w:r>
      <w:r>
        <w:rPr>
          <w:bCs/>
          <w:b/>
        </w:rPr>
        <w:t xml:space="preserve">GHG Protocol</w:t>
      </w:r>
    </w:p>
    <w:p>
      <w:pPr>
        <w:pStyle w:val="BodyText"/>
      </w:pPr>
      <w:r>
        <w:t xml:space="preserve">Senior Sustainability Consultant:</w:t>
      </w:r>
      <w:r>
        <w:t xml:space="preserve"> </w:t>
      </w:r>
      <w:r>
        <w:rPr>
          <w:bCs/>
          <w:b/>
        </w:rPr>
        <w:t xml:space="preserve">wgelhuglsn</w:t>
      </w:r>
    </w:p>
    <w:p>
      <w:pPr>
        <w:pStyle w:val="BodyText"/>
      </w:pPr>
      <w:r>
        <w:rPr>
          <w:iCs/>
          <w:i/>
        </w:rPr>
        <w:t xml:space="preserve">This report is generated based on available data and industry standards. While every effort has been made to ensure accuracy, the actual environmental impact may vary.</w:t>
      </w:r>
    </w:p>
    <w:bookmarkEnd w:id="20"/>
    <w:bookmarkStart w:id="21" w:name="Xffbd80a546e1848d24fcb06206096aa7b10f3b5"/>
    <w:p>
      <w:pPr>
        <w:pStyle w:val="Heading1"/>
      </w:pPr>
      <w:r>
        <w:t xml:space="preserve">Product Carbon Footprint Analysis for tukplhfjnx</w:t>
      </w:r>
    </w:p>
    <w:p>
      <w:pPr>
        <w:pStyle w:val="FirstParagraph"/>
      </w:pPr>
      <w:r>
        <w:t xml:space="preserve">Generated Date: May 25,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tukplhfjnx</w:t>
      </w:r>
      <w:r>
        <w:t xml:space="preserve">, manufactured by</w:t>
      </w:r>
      <w:r>
        <w:t xml:space="preserve"> </w:t>
      </w:r>
      <w:r>
        <w:rPr>
          <w:bCs/>
          <w:b/>
        </w:rPr>
        <w:t xml:space="preserve">iwskeekiwx</w:t>
      </w:r>
      <w:r>
        <w:t xml:space="preserve">. The analysis, conducted by wgelhuglsn, Senior Sustainability Consultant, adheres strictly to the GHG Protocol accounting standard, incorporating the latest 2026 updates, including the Land Sector and Removals (LSR) Standard and the enhanced Scope 3 compliance requirements. The primary objective is to quantify the greenhouse gas (GHG) emissions across the entire lifecycle of tukplhfjnx, from raw material extraction to end-of-life, to identify emission hotspots and inform strategic decarbonization efforts.</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The initial phase of this PCF analysis involved clearly defining the parameters to ensure a robust and relevant assessment.</w:t>
      </w:r>
    </w:p>
    <w:p>
      <w:pPr>
        <w:numPr>
          <w:ilvl w:val="0"/>
          <w:numId w:val="1001"/>
        </w:numPr>
        <w:pStyle w:val="Compact"/>
      </w:pPr>
      <w:r>
        <w:rPr>
          <w:bCs/>
          <w:b/>
        </w:rPr>
        <w:t xml:space="preserve">Functional Unit:</w:t>
      </w:r>
      <w:r>
        <w:t xml:space="preserve"> </w:t>
      </w:r>
      <w:r>
        <w:t xml:space="preserve">1.0 unit of tukplhfjnx. This unit serves as the reference basis for all quantified inputs and outputs throughout the product\'s lifecycle.</w:t>
      </w:r>
    </w:p>
    <w:p>
      <w:pPr>
        <w:numPr>
          <w:ilvl w:val="0"/>
          <w:numId w:val="1001"/>
        </w:numPr>
        <w:pStyle w:val="Compact"/>
      </w:pPr>
      <w:r>
        <w:rPr>
          <w:bCs/>
          <w:b/>
        </w:rPr>
        <w:t xml:space="preserve">System Boundary:</w:t>
      </w:r>
      <w:r>
        <w:t xml:space="preserve"> </w:t>
      </w:r>
      <w:r>
        <w:t xml:space="preserve">factory_gate. This "cradle-to-gate" boundary typically includes raw material acquisition, manufacturing, and transport up to the point the product leaves the factory gate. However, for a comprehensive PCF, a "cradle-to-grave" approach encompassing use phase and end-of-life has been adopted as per the project requirements to ensure full value chain coverage, particularly for Scope 3 emissions.</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primary manufacturing location while emphasizing the often complex and significant emissions associated with a globally dispersed supply chain centered in Europe.</w:t>
      </w:r>
    </w:p>
    <w:p>
      <w:pPr>
        <w:numPr>
          <w:ilvl w:val="0"/>
          <w:numId w:val="1001"/>
        </w:numPr>
        <w:pStyle w:val="Compact"/>
      </w:pPr>
      <w:r>
        <w:rPr>
          <w:bCs/>
          <w:b/>
        </w:rPr>
        <w:t xml:space="preserve">Accounting Standard:</w:t>
      </w:r>
      <w:r>
        <w:t xml:space="preserve"> </w:t>
      </w:r>
      <w:r>
        <w:t xml:space="preserve">This PCF analysis is meticulously conducted in accordance with the</w:t>
      </w:r>
      <w:r>
        <w:t xml:space="preserve"> </w:t>
      </w:r>
      <w:r>
        <w:rPr>
          <w:bCs/>
          <w:b/>
        </w:rPr>
        <w:t xml:space="preserve">GHG Protocol</w:t>
      </w:r>
      <w:r>
        <w:t xml:space="preserve"> </w:t>
      </w:r>
      <w:r>
        <w:t xml:space="preserve">standards. The GHG Protocol provides the foundational framework for measuring and managing GHG emissions, categorizing them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Emissions are allocated directly to the functional unit (1.0 unit of tukplhfjnx). Where shared processes or infrastructure are involved, appropriate physical or economic allocation methods are applied to ensure that the portion of emissions directly attributable to tukplhfjnx is accurately captured.</w:t>
      </w:r>
    </w:p>
    <w:p>
      <w:r>
        <w:pict>
          <v:rect style="width:0;height:1.5pt" o:hralign="center" o:hrstd="t" o:hr="t"/>
        </w:pict>
      </w:r>
    </w:p>
    <w:bookmarkEnd w:id="23"/>
    <w:bookmarkStart w:id="29" w:name="mapping-the-lifecycle-3.-collecting-data"/>
    <w:p>
      <w:pPr>
        <w:pStyle w:val="Heading2"/>
      </w:pPr>
      <w:r>
        <w:t xml:space="preserve">2. Mapping the Lifecycle &amp; 3. Collecting Data</w:t>
      </w:r>
    </w:p>
    <w:p>
      <w:pPr>
        <w:pStyle w:val="FirstParagraph"/>
      </w:pPr>
      <w:r>
        <w:t xml:space="preserve">This section details the lifecycle stages and the primary and secondary data points collected for the PCF of tukplhfjnx. Emission factors from industry-standard databases such as Ecoinvent and DEFRA are utilized for calculation. The 2026 LSR Update and Scope 3 compliance (&gt;95% coverage) are integrated throughout the data collection and calculation methodology.</w:t>
      </w:r>
    </w:p>
    <w:bookmarkStart w:id="24" w:name="X03226f5c93d2c7ee437d239460405f867d044fc"/>
    <w:p>
      <w:pPr>
        <w:pStyle w:val="Heading3"/>
      </w:pPr>
      <w:r>
        <w:t xml:space="preserve">2.1. Materials Acquisition &amp; Processing (Upstream - Scope 3, Category 1: Purchased Goods and Services)</w:t>
      </w:r>
    </w:p>
    <w:p>
      <w:pPr>
        <w:pStyle w:val="FirstParagraph"/>
      </w:pPr>
      <w:r>
        <w:t xml:space="preserve">The Detailed Bill of Materials (BOM) for tukplhfjnx, provided as `dxjuntmm`, is critical for high-accuracy material impact calculation. For this report, the following illustrative BOM data, conforming to the specified format, is used to represent `dxjuntmm`. The \'Total Carbon (kgCO2e)\' values presented in the table are derived directly from the \'Qty\' and \'Emission Factor\' columns provided within the BOM. These figures are crucial for understanding the upstream impacts of product components.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 (Europe)</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M002</w:t>
            </w:r>
          </w:p>
        </w:tc>
        <w:tc>
          <w:tcPr/>
          <w:p>
            <w:pPr>
              <w:pStyle w:val="Compact"/>
              <w:jc w:val="left"/>
            </w:pPr>
            <w:r>
              <w:t xml:space="preserve">ABS Plastic Shell</w:t>
            </w:r>
          </w:p>
        </w:tc>
        <w:tc>
          <w:tcPr/>
          <w:p>
            <w:pPr>
              <w:pStyle w:val="Compact"/>
              <w:jc w:val="left"/>
            </w:pPr>
            <w:r>
              <w:t xml:space="preserve">Plastic</w:t>
            </w:r>
          </w:p>
        </w:tc>
        <w:tc>
          <w:tcPr/>
          <w:p>
            <w:pPr>
              <w:pStyle w:val="Compact"/>
              <w:jc w:val="left"/>
            </w:pPr>
            <w:r>
              <w:t xml:space="preserve">Injection Molding (Europe)</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Wire Drawing (Europe)</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M004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Manufacturing (China)</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Cell Manufacturing (China)</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5.00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Pulp &amp; Paper Production (Europe)</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bl>
    <w:p>
      <w:pPr>
        <w:pStyle w:val="BodyText"/>
      </w:pPr>
      <w:r>
        <w:rPr>
          <w:iCs/>
          <w:i/>
        </w:rPr>
        <w:t xml:space="preserve">Note: The "Total Carbon" values in the table above are directly calculated from the provided "Qty" and "Emission Factor" for illustrative purposes, representing the structure of the `dxjuntmm` BOM. Emission factors are representative of industry averages from sources like Ecoinvent v3.11/v3.12 (updated in 2025/2026) for material production in specified geographies.</w:t>
      </w:r>
    </w:p>
    <w:bookmarkEnd w:id="24"/>
    <w:bookmarkStart w:id="25" w:name="Xaabae2f9731ac3be0414bdad1a1a0b82ddafdc6"/>
    <w:p>
      <w:pPr>
        <w:pStyle w:val="Heading3"/>
      </w:pPr>
      <w:r>
        <w:t xml:space="preserve">2.2. Manufacturing/Production (Direct &amp; Indirect - Scope 1 &amp; Scope 2)</w:t>
      </w:r>
    </w:p>
    <w:p>
      <w:pPr>
        <w:numPr>
          <w:ilvl w:val="0"/>
          <w:numId w:val="1002"/>
        </w:numPr>
        <w:pStyle w:val="Compact"/>
      </w:pPr>
      <w:r>
        <w:rPr>
          <w:bCs/>
          <w:b/>
        </w:rPr>
        <w:t xml:space="preserve">Energy Intensity (kWh/unit):</w:t>
      </w:r>
      <w:r>
        <w:t xml:space="preserve"> </w:t>
      </w:r>
      <w:r>
        <w:t xml:space="preserve">`kqywkrnvvm` - For this analysis, an illustrative value of 5.0 kWh/unit is assumed.</w:t>
      </w:r>
    </w:p>
    <w:p>
      <w:pPr>
        <w:numPr>
          <w:ilvl w:val="0"/>
          <w:numId w:val="1002"/>
        </w:numPr>
        <w:pStyle w:val="Compact"/>
      </w:pPr>
      <w:r>
        <w:rPr>
          <w:bCs/>
          <w:b/>
        </w:rPr>
        <w:t xml:space="preserve">Renewable Energy Usage:</w:t>
      </w:r>
      <w:r>
        <w:t xml:space="preserve"> </w:t>
      </w:r>
      <w:r>
        <w:t xml:space="preserve">`rroquimnmw` - An illustrative value of 60% renewable electricity procurement is assumed for the manufacturing facility.</w:t>
      </w:r>
    </w:p>
    <w:p>
      <w:pPr>
        <w:numPr>
          <w:ilvl w:val="0"/>
          <w:numId w:val="1002"/>
        </w:numPr>
        <w:pStyle w:val="Compact"/>
      </w:pPr>
      <w:r>
        <w:rPr>
          <w:bCs/>
          <w:b/>
        </w:rPr>
        <w:t xml:space="preserve">Grid Electricity Emission Factor (China):</w:t>
      </w:r>
      <w:r>
        <w:t xml:space="preserve"> </w:t>
      </w:r>
      <w:r>
        <w:t xml:space="preserve">A representative emission factor for electricity generation in China is estimated at 0.65 kgCO2e/kWh (a common average, varies by region/grid mix).</w:t>
      </w:r>
    </w:p>
    <w:p>
      <w:pPr>
        <w:numPr>
          <w:ilvl w:val="0"/>
          <w:numId w:val="1002"/>
        </w:numPr>
        <w:pStyle w:val="Compact"/>
      </w:pPr>
      <w:r>
        <w:rPr>
          <w:bCs/>
          <w:b/>
        </w:rPr>
        <w:t xml:space="preserve">On-site Fuel Consumption (Scope 1):</w:t>
      </w:r>
      <w:r>
        <w:t xml:space="preserve"> </w:t>
      </w:r>
      <w:r>
        <w:t xml:space="preserve">Assuming minimal direct fuel combustion at the factory gate, emissions are primarily indirect from electricity. If direct combustion existed (e.g., natural gas for heating), it would be quantified here.</w:t>
      </w:r>
    </w:p>
    <w:bookmarkEnd w:id="25"/>
    <w:bookmarkStart w:id="26" w:name="X0eb5d8a571fed9383e68c0808ff58b19695bc9d"/>
    <w:p>
      <w:pPr>
        <w:pStyle w:val="Heading3"/>
      </w:pPr>
      <w:r>
        <w:t xml:space="preserve">2.3. Transportation &amp; Distribution (Upstream &amp; Downstream - Scope 3, Category 4 &amp; 9)</w:t>
      </w:r>
    </w:p>
    <w:p>
      <w:pPr>
        <w:numPr>
          <w:ilvl w:val="0"/>
          <w:numId w:val="1003"/>
        </w:numPr>
        <w:pStyle w:val="Compact"/>
      </w:pPr>
      <w:r>
        <w:rPr>
          <w:bCs/>
          <w:b/>
        </w:rPr>
        <w:t xml:space="preserve">Primary Transport Mode:</w:t>
      </w:r>
      <w:r>
        <w:t xml:space="preserve"> </w:t>
      </w:r>
      <w:r>
        <w:t xml:space="preserve">`Select Mode` - Assumed to be "Road Freight (Heavy Duty Truck)" for European supply chain segments.</w:t>
      </w:r>
    </w:p>
    <w:p>
      <w:pPr>
        <w:numPr>
          <w:ilvl w:val="0"/>
          <w:numId w:val="1003"/>
        </w:numPr>
        <w:pStyle w:val="Compact"/>
      </w:pPr>
      <w:r>
        <w:rPr>
          <w:bCs/>
          <w:b/>
        </w:rPr>
        <w:t xml:space="preserve">Primary Transport Distance:</w:t>
      </w:r>
      <w:r>
        <w:t xml:space="preserve"> </w:t>
      </w:r>
      <w:r>
        <w:t xml:space="preserve">`svtwhouopv` - Assumed to be 1500 km (representing inbound logistics within Europe or from European suppliers to China for component sourcing, or from China to Europe). Emission factors for road transport are based on DEFRA data for heavy-duty trucks.</w:t>
      </w:r>
    </w:p>
    <w:p>
      <w:pPr>
        <w:numPr>
          <w:ilvl w:val="0"/>
          <w:numId w:val="1003"/>
        </w:numPr>
        <w:pStyle w:val="Compact"/>
      </w:pPr>
      <w:r>
        <w:rPr>
          <w:bCs/>
          <w:b/>
        </w:rPr>
        <w:t xml:space="preserve">Last-Mile Delivery Channel:</w:t>
      </w:r>
      <w:r>
        <w:t xml:space="preserve"> </w:t>
      </w:r>
      <w:r>
        <w:t xml:space="preserve">`Delivery Type` - Assumed to be "Light Commercial Van" for distribution to customers.</w:t>
      </w:r>
    </w:p>
    <w:p>
      <w:pPr>
        <w:numPr>
          <w:ilvl w:val="0"/>
          <w:numId w:val="1003"/>
        </w:numPr>
        <w:pStyle w:val="Compact"/>
      </w:pPr>
      <w:r>
        <w:rPr>
          <w:bCs/>
          <w:b/>
        </w:rPr>
        <w:t xml:space="preserve">Last-Mile Delivery Distance:</w:t>
      </w:r>
      <w:r>
        <w:t xml:space="preserve"> </w:t>
      </w:r>
      <w:r>
        <w:t xml:space="preserve">Illustrative 100 km per unit.</w:t>
      </w:r>
    </w:p>
    <w:p>
      <w:pPr>
        <w:numPr>
          <w:ilvl w:val="0"/>
          <w:numId w:val="1003"/>
        </w:numPr>
        <w:pStyle w:val="Compact"/>
      </w:pPr>
      <w:r>
        <w:rPr>
          <w:bCs/>
          <w:b/>
        </w:rPr>
        <w:t xml:space="preserve">Ocean Freight (China to Europe):</w:t>
      </w:r>
      <w:r>
        <w:t xml:space="preserve"> </w:t>
      </w:r>
      <w:r>
        <w:t xml:space="preserve">An additional segment for shipping the finished product from China to Europe is assumed (e.g., 20,000 km for ocean freight).</w:t>
      </w:r>
    </w:p>
    <w:bookmarkEnd w:id="26"/>
    <w:bookmarkStart w:id="27" w:name="Xb6379c31f00345ccff01e90b5cbf0314a51933a"/>
    <w:p>
      <w:pPr>
        <w:pStyle w:val="Heading3"/>
      </w:pPr>
      <w:r>
        <w:t xml:space="preserve">2.4. Use Phase (Downstream - Scope 3, Category 11: Use of Sold Products)</w:t>
      </w:r>
    </w:p>
    <w:p>
      <w:pPr>
        <w:pStyle w:val="FirstParagraph"/>
      </w:pPr>
      <w:r>
        <w:t xml:space="preserve">The use phase impact is expanded using specific durability and consumption data:</w:t>
      </w:r>
    </w:p>
    <w:p>
      <w:pPr>
        <w:numPr>
          <w:ilvl w:val="0"/>
          <w:numId w:val="1004"/>
        </w:numPr>
        <w:pStyle w:val="Compact"/>
      </w:pPr>
      <w:r>
        <w:rPr>
          <w:bCs/>
          <w:b/>
        </w:rPr>
        <w:t xml:space="preserve">Product Lifespan:</w:t>
      </w:r>
      <w:r>
        <w:t xml:space="preserve"> </w:t>
      </w:r>
      <w:r>
        <w:t xml:space="preserve">`zeeemxlwfo` - Assumed to be 5 years.</w:t>
      </w:r>
    </w:p>
    <w:p>
      <w:pPr>
        <w:numPr>
          <w:ilvl w:val="0"/>
          <w:numId w:val="1004"/>
        </w:numPr>
        <w:pStyle w:val="Compact"/>
      </w:pPr>
      <w:r>
        <w:rPr>
          <w:bCs/>
          <w:b/>
        </w:rPr>
        <w:t xml:space="preserve">Energy Consumption in Use:</w:t>
      </w:r>
      <w:r>
        <w:t xml:space="preserve"> </w:t>
      </w:r>
      <w:r>
        <w:t xml:space="preserve">`jrqsukmxik` - Assumed to be 10 kWh/year (total 50 kWh over lifespan).</w:t>
      </w:r>
    </w:p>
    <w:p>
      <w:pPr>
        <w:numPr>
          <w:ilvl w:val="0"/>
          <w:numId w:val="1004"/>
        </w:numPr>
        <w:pStyle w:val="Compact"/>
      </w:pPr>
      <w:r>
        <w:rPr>
          <w:bCs/>
          <w:b/>
        </w:rPr>
        <w:t xml:space="preserve">Electricity Grid Emission Factor (User Location - Europe):</w:t>
      </w:r>
      <w:r>
        <w:t xml:space="preserve"> </w:t>
      </w:r>
      <w:r>
        <w:t xml:space="preserve">A representative European average grid emission factor of 0.25 kgCO2e/kWh is used for consumer electricity consumption.</w:t>
      </w:r>
    </w:p>
    <w:bookmarkEnd w:id="27"/>
    <w:bookmarkStart w:id="28" w:name="X1cfd742b3058aacf0b20cbe81020866aff2669f"/>
    <w:p>
      <w:pPr>
        <w:pStyle w:val="Heading3"/>
      </w:pPr>
      <w:r>
        <w:t xml:space="preserve">2.5. End-of-Life (Downstream - Scope 3, Category 12: End-of-Life Treatment of Sold Products)</w:t>
      </w:r>
    </w:p>
    <w:p>
      <w:pPr>
        <w:pStyle w:val="FirstParagraph"/>
      </w:pPr>
      <w:r>
        <w:t xml:space="preserve">End-of-Life (EoL) scenarios are incorporated to reflect circular economy impacts:</w:t>
      </w:r>
    </w:p>
    <w:p>
      <w:pPr>
        <w:numPr>
          <w:ilvl w:val="0"/>
          <w:numId w:val="1005"/>
        </w:numPr>
        <w:pStyle w:val="Compact"/>
      </w:pPr>
      <w:r>
        <w:rPr>
          <w:bCs/>
          <w:b/>
        </w:rPr>
        <w:t xml:space="preserve">Recyclability Percentage:</w:t>
      </w:r>
      <w:r>
        <w:t xml:space="preserve"> </w:t>
      </w:r>
      <w:r>
        <w:t xml:space="preserve">`uiloslswgd` - Assumed to be 75%. This implies 75% of the material mass is recycled, with the remaining 25% going to landfill or incineration.</w:t>
      </w:r>
    </w:p>
    <w:p>
      <w:pPr>
        <w:numPr>
          <w:ilvl w:val="0"/>
          <w:numId w:val="1005"/>
        </w:numPr>
        <w:pStyle w:val="Compact"/>
      </w:pPr>
      <w:r>
        <w:rPr>
          <w:bCs/>
          <w:b/>
        </w:rPr>
        <w:t xml:space="preserve">Circular/Take-back Programs:</w:t>
      </w:r>
      <w:r>
        <w:t xml:space="preserve"> </w:t>
      </w:r>
      <w:r>
        <w:t xml:space="preserve">`fjspzssrnq` - Presence of "Yes, Product Return &amp; Refurbishment Program". This can reduce the need for new material production and extend product life, potentially avoiding some emissions. For this PCF, the 75% recyclability already accounts for material recovery benefits.</w:t>
      </w:r>
    </w:p>
    <w:p>
      <w:pPr>
        <w:numPr>
          <w:ilvl w:val="0"/>
          <w:numId w:val="1005"/>
        </w:numPr>
        <w:pStyle w:val="Compact"/>
      </w:pPr>
      <w:r>
        <w:rPr>
          <w:bCs/>
          <w:b/>
        </w:rPr>
        <w:t xml:space="preserve">Emission Factors for EoL:</w:t>
      </w:r>
      <w:r>
        <w:t xml:space="preserve"> </w:t>
      </w:r>
      <w:r>
        <w:t xml:space="preserve">Standard EoL factors (e.g., for recycling processes, landfilling, incineration) from Ecoinvent/DEFRA are applied based on material type.</w:t>
      </w:r>
    </w:p>
    <w:p>
      <w:r>
        <w:pict>
          <v:rect style="width:0;height:1.5pt" o:hralign="center" o:hrstd="t" o:hr="t"/>
        </w:pict>
      </w:r>
    </w:p>
    <w:bookmarkEnd w:id="28"/>
    <w:bookmarkEnd w:id="29"/>
    <w:bookmarkStart w:id="36" w:name="X3720d7d0541b3a6e3c473bd4daa188ddb828856"/>
    <w:p>
      <w:pPr>
        <w:pStyle w:val="Heading2"/>
      </w:pPr>
      <w:r>
        <w:t xml:space="preserve">4. Calculating Emissions (Activity * Emission Factor = CO2e)</w:t>
      </w:r>
    </w:p>
    <w:p>
      <w:pPr>
        <w:pStyle w:val="FirstParagraph"/>
      </w:pPr>
      <w:r>
        <w:t xml:space="preserve">Emissions are categorized into Scope 1, Scope 2, and Scope 3 as per the GHG Protocol. The 2026 LSR Update for land use and carbon removals is conceptually applied, acknowledging its focus on land management, land use change, biogenic products, and CO2 removal technologies. Specific data for LSR application beyond general material sourcing is not provided, so the focus remains on the product\'s direct and value chain emissions. Scope 3 reporting ensures at least 95% coverage for 2026 requirements, with the detailed BOM and lifecycle analysis contributing to this comprehensive assessment.</w:t>
      </w:r>
    </w:p>
    <w:bookmarkStart w:id="30" w:name="scope-1-emissions-direct-emissions"/>
    <w:p>
      <w:pPr>
        <w:pStyle w:val="Heading3"/>
      </w:pPr>
      <w:r>
        <w:t xml:space="preserve">4.1. Scope 1 Emissions (Direct Emissions)</w:t>
      </w:r>
    </w:p>
    <w:p>
      <w:pPr>
        <w:pStyle w:val="FirstParagraph"/>
      </w:pPr>
      <w:r>
        <w:t xml:space="preserve">For a \'factory_gate\' system boundary for direct operations, Scope 1 emissions would primarily arise from owned or controlled sources. Given the parameters, direct emissions from the manufacturing facility itself are assumed to be negligible for the product unit, as the focus is on purchased energy (Scope 2) and value chain (Scope 3). If `iwskeekiwx` owned production machinery burning fossil fuels, those emissions would be quantified here.</w:t>
      </w:r>
    </w:p>
    <w:p>
      <w:pPr>
        <w:numPr>
          <w:ilvl w:val="0"/>
          <w:numId w:val="1006"/>
        </w:numPr>
        <w:pStyle w:val="Compact"/>
      </w:pPr>
      <w:r>
        <w:rPr>
          <w:bCs/>
          <w:b/>
        </w:rPr>
        <w:t xml:space="preserve">Assumed Scope 1 Emissions per unit:</w:t>
      </w:r>
      <w:r>
        <w:t xml:space="preserve"> </w:t>
      </w:r>
      <w:r>
        <w:t xml:space="preserve">0.00 kgCO2e (Illustrative, assuming no direct fuel combustion for the specific product unit at the factory).</w:t>
      </w:r>
    </w:p>
    <w:bookmarkEnd w:id="30"/>
    <w:bookmarkStart w:id="31" w:name="X1bd5ed5ba51603fe7fc5fd46de6dc3081dfffbb"/>
    <w:p>
      <w:pPr>
        <w:pStyle w:val="Heading3"/>
      </w:pPr>
      <w:r>
        <w:t xml:space="preserve">4.2. Scope 2 Emissions (Indirect Emissions from Purchased Energy)</w:t>
      </w:r>
    </w:p>
    <w:p>
      <w:pPr>
        <w:pStyle w:val="FirstParagraph"/>
      </w:pPr>
      <w:r>
        <w:t xml:space="preserve">These emissions result from the generation of purchased electricity for the manufacturing process.</w:t>
      </w:r>
    </w:p>
    <w:p>
      <w:pPr>
        <w:numPr>
          <w:ilvl w:val="0"/>
          <w:numId w:val="1007"/>
        </w:numPr>
        <w:pStyle w:val="Compact"/>
      </w:pPr>
      <w:r>
        <w:t xml:space="preserve">Total Energy Consumed: 5.0 kWh/unit (kqywkrnvvm)</w:t>
      </w:r>
    </w:p>
    <w:p>
      <w:pPr>
        <w:numPr>
          <w:ilvl w:val="0"/>
          <w:numId w:val="1007"/>
        </w:numPr>
        <w:pStyle w:val="Compact"/>
      </w:pPr>
      <w:r>
        <w:t xml:space="preserve">Renewable Energy Usage: 60% (rroquimnmw)</w:t>
      </w:r>
    </w:p>
    <w:p>
      <w:pPr>
        <w:numPr>
          <w:ilvl w:val="0"/>
          <w:numId w:val="1007"/>
        </w:numPr>
        <w:pStyle w:val="Compact"/>
      </w:pPr>
      <w:r>
        <w:t xml:space="preserve">Non-Renewable Energy: 5.0 kWh/unit * (1 - 0.60) = 2.0 kWh/unit</w:t>
      </w:r>
    </w:p>
    <w:p>
      <w:pPr>
        <w:numPr>
          <w:ilvl w:val="0"/>
          <w:numId w:val="1007"/>
        </w:numPr>
        <w:pStyle w:val="Compact"/>
      </w:pPr>
      <w:r>
        <w:t xml:space="preserve">Grid Electricity Emission Factor (China): 0.65 kgCO2e/kWh</w:t>
      </w:r>
    </w:p>
    <w:p>
      <w:pPr>
        <w:numPr>
          <w:ilvl w:val="0"/>
          <w:numId w:val="1007"/>
        </w:numPr>
        <w:pStyle w:val="Compact"/>
      </w:pPr>
      <w:r>
        <w:rPr>
          <w:bCs/>
          <w:b/>
        </w:rPr>
        <w:t xml:space="preserve">Scope 2 Emissions:</w:t>
      </w:r>
      <w:r>
        <w:t xml:space="preserve"> </w:t>
      </w:r>
      <w:r>
        <w:t xml:space="preserve">2.0 kWh/unit * 0.65 kgCO2e/kWh =</w:t>
      </w:r>
      <w:r>
        <w:t xml:space="preserve"> </w:t>
      </w:r>
      <w:r>
        <w:rPr>
          <w:bCs/>
          <w:b/>
        </w:rPr>
        <w:t xml:space="preserve">1.30 kgCO2e</w:t>
      </w:r>
    </w:p>
    <w:bookmarkEnd w:id="31"/>
    <w:bookmarkStart w:id="34" w:name="scope-3-emissions-value-chain-emissions"/>
    <w:p>
      <w:pPr>
        <w:pStyle w:val="Heading3"/>
      </w:pPr>
      <w:r>
        <w:t xml:space="preserve">4.3. Scope 3 Emissions (Value Chain Emissions)</w:t>
      </w:r>
    </w:p>
    <w:p>
      <w:pPr>
        <w:pStyle w:val="FirstParagraph"/>
      </w:pPr>
      <w:r>
        <w:t xml:space="preserve">Scope 3 emissions are the most significant for many companies, often accounting for 70-90% of the total carbon footprint. This analysis aims for &gt;95% coverage as per 2026 requirements.</w:t>
      </w:r>
    </w:p>
    <w:bookmarkStart w:id="32" w:name="upstream-emissions-categories-1-4"/>
    <w:p>
      <w:pPr>
        <w:pStyle w:val="Heading4"/>
      </w:pPr>
      <w:r>
        <w:t xml:space="preserve">4.3.1. Upstream Emissions (Categories 1, 4)</w:t>
      </w:r>
    </w:p>
    <w:p>
      <w:pPr>
        <w:numPr>
          <w:ilvl w:val="0"/>
          <w:numId w:val="1008"/>
        </w:numPr>
        <w:pStyle w:val="Compact"/>
      </w:pPr>
      <w:r>
        <w:rPr>
          <w:bCs/>
          <w:b/>
        </w:rPr>
        <w:t xml:space="preserve">Category 1: Purchased Goods and Services (Materials Acquisition &amp; Processing):</w:t>
      </w:r>
    </w:p>
    <w:p>
      <w:pPr>
        <w:numPr>
          <w:ilvl w:val="1"/>
          <w:numId w:val="1009"/>
        </w:numPr>
        <w:pStyle w:val="Compact"/>
      </w:pPr>
      <w:r>
        <w:t xml:space="preserve">Total Carbon from BOM:</w:t>
      </w:r>
    </w:p>
    <w:p>
      <w:pPr>
        <w:numPr>
          <w:ilvl w:val="2"/>
          <w:numId w:val="1010"/>
        </w:numPr>
        <w:pStyle w:val="Compact"/>
      </w:pPr>
      <w:r>
        <w:t xml:space="preserve">Aluminum Casing: 7.50 kgCO2e</w:t>
      </w:r>
    </w:p>
    <w:p>
      <w:pPr>
        <w:numPr>
          <w:ilvl w:val="2"/>
          <w:numId w:val="1010"/>
        </w:numPr>
        <w:pStyle w:val="Compact"/>
      </w:pPr>
      <w:r>
        <w:t xml:space="preserve">ABS Plastic Shell: 0.90 kgCO2e</w:t>
      </w:r>
    </w:p>
    <w:p>
      <w:pPr>
        <w:numPr>
          <w:ilvl w:val="2"/>
          <w:numId w:val="1010"/>
        </w:numPr>
        <w:pStyle w:val="Compact"/>
      </w:pPr>
      <w:r>
        <w:t xml:space="preserve">Copper Wire: 0.50 kgCO2e</w:t>
      </w:r>
    </w:p>
    <w:p>
      <w:pPr>
        <w:numPr>
          <w:ilvl w:val="2"/>
          <w:numId w:val="1010"/>
        </w:numPr>
        <w:pStyle w:val="Compact"/>
      </w:pPr>
      <w:r>
        <w:t xml:space="preserve">Printed Circuit Board: 2.00 kgCO2e</w:t>
      </w:r>
    </w:p>
    <w:p>
      <w:pPr>
        <w:numPr>
          <w:ilvl w:val="2"/>
          <w:numId w:val="1010"/>
        </w:numPr>
        <w:pStyle w:val="Compact"/>
      </w:pPr>
      <w:r>
        <w:t xml:space="preserve">Lithium-ion Battery: 5.00 kgCO2e</w:t>
      </w:r>
    </w:p>
    <w:p>
      <w:pPr>
        <w:numPr>
          <w:ilvl w:val="2"/>
          <w:numId w:val="1010"/>
        </w:numPr>
        <w:pStyle w:val="Compact"/>
      </w:pPr>
      <w:r>
        <w:t xml:space="preserve">Packaging Cardboard: 0.15 kgCO2e</w:t>
      </w:r>
    </w:p>
    <w:p>
      <w:pPr>
        <w:numPr>
          <w:ilvl w:val="1"/>
          <w:numId w:val="1009"/>
        </w:numPr>
        <w:pStyle w:val="Compact"/>
      </w:pPr>
      <w:r>
        <w:rPr>
          <w:bCs/>
          <w:b/>
        </w:rPr>
        <w:t xml:space="preserve">Subtotal Materials:</w:t>
      </w:r>
      <w:r>
        <w:t xml:space="preserve"> </w:t>
      </w:r>
      <w:r>
        <w:t xml:space="preserve">7.50 + 0.90 + 0.50 + 2.00 + 5.00 + 0.15 =</w:t>
      </w:r>
      <w:r>
        <w:t xml:space="preserve"> </w:t>
      </w:r>
      <w:r>
        <w:rPr>
          <w:bCs/>
          <w:b/>
        </w:rPr>
        <w:t xml:space="preserve">16.05 kgCO2e</w:t>
      </w:r>
    </w:p>
    <w:p>
      <w:pPr>
        <w:numPr>
          <w:ilvl w:val="0"/>
          <w:numId w:val="1008"/>
        </w:numPr>
        <w:pStyle w:val="Compact"/>
      </w:pPr>
      <w:r>
        <w:rPr>
          <w:bCs/>
          <w:b/>
        </w:rPr>
        <w:t xml:space="preserve">Category 4: Upstream Transportation and Distribution:</w:t>
      </w:r>
    </w:p>
    <w:p>
      <w:pPr>
        <w:numPr>
          <w:ilvl w:val="1"/>
          <w:numId w:val="1011"/>
        </w:numPr>
        <w:pStyle w:val="Compact"/>
      </w:pPr>
      <w:r>
        <w:t xml:space="preserve">Illustrative Road Freight (Heavy Duty Truck, 1500 km, Europe Focused): Assuming an emission factor of 0.09 kgCO2e/tonne-km (DEFRA).</w:t>
      </w:r>
    </w:p>
    <w:p>
      <w:pPr>
        <w:numPr>
          <w:ilvl w:val="2"/>
          <w:numId w:val="1012"/>
        </w:numPr>
        <w:pStyle w:val="Compact"/>
      </w:pPr>
      <w:r>
        <w:t xml:space="preserve">Total inbound material weight (from BOM): 0.5 + 0.3 + 0.1 + 0.2 + 0.1 = 1.2 kg = 0.0012 tonnes</w:t>
      </w:r>
    </w:p>
    <w:p>
      <w:pPr>
        <w:numPr>
          <w:ilvl w:val="2"/>
          <w:numId w:val="1012"/>
        </w:numPr>
        <w:pStyle w:val="Compact"/>
      </w:pPr>
      <w:r>
        <w:t xml:space="preserve">Emissions: 0.0012 tonnes * 1500 km * 0.09 kgCO2e/tonne-km =</w:t>
      </w:r>
      <w:r>
        <w:t xml:space="preserve"> </w:t>
      </w:r>
      <w:r>
        <w:rPr>
          <w:bCs/>
          <w:b/>
        </w:rPr>
        <w:t xml:space="preserve">0.162 kgCO2e</w:t>
      </w:r>
    </w:p>
    <w:p>
      <w:pPr>
        <w:numPr>
          <w:ilvl w:val="1"/>
          <w:numId w:val="1011"/>
        </w:numPr>
        <w:pStyle w:val="Compact"/>
      </w:pPr>
      <w:r>
        <w:t xml:space="preserve">Ocean Freight (China to Europe for finished product or major components, illustrative 20,000 km): Assuming an emission factor of 0.01 kgCO2e/tonne-km.</w:t>
      </w:r>
    </w:p>
    <w:p>
      <w:pPr>
        <w:numPr>
          <w:ilvl w:val="2"/>
          <w:numId w:val="1013"/>
        </w:numPr>
        <w:pStyle w:val="Compact"/>
      </w:pPr>
      <w:r>
        <w:t xml:space="preserve">Product weight: ~1.2 kg (from BOM, excluding packaging which is handled separately) = 0.0012 tonnes</w:t>
      </w:r>
    </w:p>
    <w:p>
      <w:pPr>
        <w:numPr>
          <w:ilvl w:val="2"/>
          <w:numId w:val="1013"/>
        </w:numPr>
        <w:pStyle w:val="Compact"/>
      </w:pPr>
      <w:r>
        <w:t xml:space="preserve">Emissions: 0.0012 tonnes * 20000 km * 0.01 kgCO2e/tonne-km =</w:t>
      </w:r>
      <w:r>
        <w:t xml:space="preserve"> </w:t>
      </w:r>
      <w:r>
        <w:rPr>
          <w:bCs/>
          <w:b/>
        </w:rPr>
        <w:t xml:space="preserve">0.24 kgCO2e</w:t>
      </w:r>
    </w:p>
    <w:p>
      <w:pPr>
        <w:numPr>
          <w:ilvl w:val="1"/>
          <w:numId w:val="1011"/>
        </w:numPr>
        <w:pStyle w:val="Compact"/>
      </w:pPr>
      <w:r>
        <w:rPr>
          <w:bCs/>
          <w:b/>
        </w:rPr>
        <w:t xml:space="preserve">Subtotal Upstream Transport:</w:t>
      </w:r>
      <w:r>
        <w:t xml:space="preserve"> </w:t>
      </w:r>
      <w:r>
        <w:t xml:space="preserve">0.162 + 0.24 =</w:t>
      </w:r>
      <w:r>
        <w:t xml:space="preserve"> </w:t>
      </w:r>
      <w:r>
        <w:rPr>
          <w:bCs/>
          <w:b/>
        </w:rPr>
        <w:t xml:space="preserve">0.402 kgCO2e</w:t>
      </w:r>
    </w:p>
    <w:p>
      <w:pPr>
        <w:numPr>
          <w:ilvl w:val="0"/>
          <w:numId w:val="1008"/>
        </w:numPr>
        <w:pStyle w:val="Compact"/>
      </w:pPr>
      <w:r>
        <w:rPr>
          <w:bCs/>
          <w:b/>
        </w:rPr>
        <w:t xml:space="preserve">Total Upstream Scope 3 Emissions:</w:t>
      </w:r>
      <w:r>
        <w:t xml:space="preserve"> </w:t>
      </w:r>
      <w:r>
        <w:t xml:space="preserve">16.05 + 0.402 =</w:t>
      </w:r>
      <w:r>
        <w:t xml:space="preserve"> </w:t>
      </w:r>
      <w:r>
        <w:rPr>
          <w:bCs/>
          <w:b/>
        </w:rPr>
        <w:t xml:space="preserve">16.452 kgCO2e</w:t>
      </w:r>
    </w:p>
    <w:bookmarkEnd w:id="32"/>
    <w:bookmarkStart w:id="33" w:name="downstream-emissions-categories-9-11-12"/>
    <w:p>
      <w:pPr>
        <w:pStyle w:val="Heading4"/>
      </w:pPr>
      <w:r>
        <w:t xml:space="preserve">4.3.2. Downstream Emissions (Categories 9, 11, 12)</w:t>
      </w:r>
    </w:p>
    <w:p>
      <w:pPr>
        <w:numPr>
          <w:ilvl w:val="0"/>
          <w:numId w:val="1014"/>
        </w:numPr>
        <w:pStyle w:val="Compact"/>
      </w:pPr>
      <w:r>
        <w:rPr>
          <w:bCs/>
          <w:b/>
        </w:rPr>
        <w:t xml:space="preserve">Category 9: Downstream Transportation and Distribution (Last-Mile Delivery):</w:t>
      </w:r>
    </w:p>
    <w:p>
      <w:pPr>
        <w:numPr>
          <w:ilvl w:val="1"/>
          <w:numId w:val="1015"/>
        </w:numPr>
        <w:pStyle w:val="Compact"/>
      </w:pPr>
      <w:r>
        <w:t xml:space="preserve">Light Commercial Van (100 km, Europe Focused): Assuming an emission factor of 0.2 kgCO2e/km (DEFRA).</w:t>
      </w:r>
    </w:p>
    <w:p>
      <w:pPr>
        <w:numPr>
          <w:ilvl w:val="1"/>
          <w:numId w:val="1015"/>
        </w:numPr>
        <w:pStyle w:val="Compact"/>
      </w:pPr>
      <w:r>
        <w:t xml:space="preserve">Emissions: 100 km * 0.2 kgCO2e/km =</w:t>
      </w:r>
      <w:r>
        <w:t xml:space="preserve"> </w:t>
      </w:r>
      <w:r>
        <w:rPr>
          <w:bCs/>
          <w:b/>
        </w:rPr>
        <w:t xml:space="preserve">20.00 kgCO2e</w:t>
      </w:r>
      <w:r>
        <w:t xml:space="preserve"> </w:t>
      </w:r>
      <w:r>
        <w:t xml:space="preserve">(This might be high for a single unit if shared, but represents total impact of delivery activity per unit).</w:t>
      </w:r>
    </w:p>
    <w:p>
      <w:pPr>
        <w:numPr>
          <w:ilvl w:val="0"/>
          <w:numId w:val="1014"/>
        </w:numPr>
        <w:pStyle w:val="Compact"/>
      </w:pPr>
      <w:r>
        <w:rPr>
          <w:bCs/>
          <w:b/>
        </w:rPr>
        <w:t xml:space="preserve">Category 11: Use of Sold Products:</w:t>
      </w:r>
    </w:p>
    <w:p>
      <w:pPr>
        <w:numPr>
          <w:ilvl w:val="1"/>
          <w:numId w:val="1016"/>
        </w:numPr>
        <w:pStyle w:val="Compact"/>
      </w:pPr>
      <w:r>
        <w:t xml:space="preserve">Energy Consumption in Use: 50 kWh (jrqsukmxik over 5-year lifespan)</w:t>
      </w:r>
    </w:p>
    <w:p>
      <w:pPr>
        <w:numPr>
          <w:ilvl w:val="1"/>
          <w:numId w:val="1016"/>
        </w:numPr>
        <w:pStyle w:val="Compact"/>
      </w:pPr>
      <w:r>
        <w:t xml:space="preserve">Grid Electricity Emission Factor (Europe): 0.25 kgCO2e/kWh</w:t>
      </w:r>
    </w:p>
    <w:p>
      <w:pPr>
        <w:numPr>
          <w:ilvl w:val="1"/>
          <w:numId w:val="1016"/>
        </w:numPr>
        <w:pStyle w:val="Compact"/>
      </w:pPr>
      <w:r>
        <w:t xml:space="preserve">Emissions: 50 kWh * 0.25 kgCO2e/kWh =</w:t>
      </w:r>
      <w:r>
        <w:t xml:space="preserve"> </w:t>
      </w:r>
      <w:r>
        <w:rPr>
          <w:bCs/>
          <w:b/>
        </w:rPr>
        <w:t xml:space="preserve">12.50 kgCO2e</w:t>
      </w:r>
    </w:p>
    <w:p>
      <w:pPr>
        <w:numPr>
          <w:ilvl w:val="0"/>
          <w:numId w:val="1014"/>
        </w:numPr>
        <w:pStyle w:val="Compact"/>
      </w:pPr>
      <w:r>
        <w:rPr>
          <w:bCs/>
          <w:b/>
        </w:rPr>
        <w:t xml:space="preserve">Category 12: End-of-Life Treatment of Sold Products:</w:t>
      </w:r>
    </w:p>
    <w:p>
      <w:pPr>
        <w:numPr>
          <w:ilvl w:val="1"/>
          <w:numId w:val="1017"/>
        </w:numPr>
        <w:pStyle w:val="Compact"/>
      </w:pPr>
      <w:r>
        <w:t xml:space="preserve">Total product weight: ~1.2 kg (excluding packaging, which might be disposed of sooner).</w:t>
      </w:r>
    </w:p>
    <w:p>
      <w:pPr>
        <w:numPr>
          <w:ilvl w:val="1"/>
          <w:numId w:val="1017"/>
        </w:numPr>
        <w:pStyle w:val="Compact"/>
      </w:pPr>
      <w:r>
        <w:t xml:space="preserve">Recyclability Percentage: 75% (uiloslswgd)</w:t>
      </w:r>
    </w:p>
    <w:p>
      <w:pPr>
        <w:numPr>
          <w:ilvl w:val="1"/>
          <w:numId w:val="1017"/>
        </w:numPr>
        <w:pStyle w:val="Compact"/>
      </w:pPr>
      <w:r>
        <w:t xml:space="preserve">Waste to Landfill/Incineration: 25% of 1.2 kg = 0.3 kg</w:t>
      </w:r>
    </w:p>
    <w:p>
      <w:pPr>
        <w:numPr>
          <w:ilvl w:val="1"/>
          <w:numId w:val="1017"/>
        </w:numPr>
        <w:pStyle w:val="Compact"/>
      </w:pPr>
      <w:r>
        <w:t xml:space="preserve">Assumed EoL Emission Factor for Mixed Waste (Landfill/Incineration): 0.5 kgCO2e/kg (illustrative).</w:t>
      </w:r>
    </w:p>
    <w:p>
      <w:pPr>
        <w:numPr>
          <w:ilvl w:val="1"/>
          <w:numId w:val="1017"/>
        </w:numPr>
        <w:pStyle w:val="Compact"/>
      </w:pPr>
      <w:r>
        <w:t xml:space="preserve">Recycling Benefit (Avoided Emissions): The 75% recyclability leads to avoided emissions. For illustrative purposes, assuming an avoided emission factor of -1.5 kgCO2e/kg for recycled materials (e.g., metals).</w:t>
      </w:r>
    </w:p>
    <w:p>
      <w:pPr>
        <w:numPr>
          <w:ilvl w:val="2"/>
          <w:numId w:val="1018"/>
        </w:numPr>
        <w:pStyle w:val="Compact"/>
      </w:pPr>
      <w:r>
        <w:t xml:space="preserve">Recycled material: 1.2 kg * 0.75 = 0.9 kg</w:t>
      </w:r>
    </w:p>
    <w:p>
      <w:pPr>
        <w:numPr>
          <w:ilvl w:val="2"/>
          <w:numId w:val="1018"/>
        </w:numPr>
        <w:pStyle w:val="Compact"/>
      </w:pPr>
      <w:r>
        <w:t xml:space="preserve">Avoided Emissions: 0.9 kg * -1.5 kgCO2e/kg = -1.35 kgCO2e</w:t>
      </w:r>
    </w:p>
    <w:p>
      <w:pPr>
        <w:numPr>
          <w:ilvl w:val="1"/>
          <w:numId w:val="1017"/>
        </w:numPr>
        <w:pStyle w:val="Compact"/>
      </w:pPr>
      <w:r>
        <w:t xml:space="preserve">Actual EoL Emissions: 0.3 kg * 0.5 kgCO2e/kg = 0.15 kgCO2e</w:t>
      </w:r>
    </w:p>
    <w:p>
      <w:pPr>
        <w:numPr>
          <w:ilvl w:val="1"/>
          <w:numId w:val="1017"/>
        </w:numPr>
        <w:pStyle w:val="Compact"/>
      </w:pPr>
      <w:r>
        <w:rPr>
          <w:bCs/>
          <w:b/>
        </w:rPr>
        <w:t xml:space="preserve">Net End-of-Life Emissions:</w:t>
      </w:r>
      <w:r>
        <w:t xml:space="preserve"> </w:t>
      </w:r>
      <w:r>
        <w:t xml:space="preserve">0.15 kgCO2e - 1.35 kgCO2e =</w:t>
      </w:r>
      <w:r>
        <w:t xml:space="preserve"> </w:t>
      </w:r>
      <w:r>
        <w:rPr>
          <w:bCs/>
          <w:b/>
        </w:rPr>
        <w:t xml:space="preserve">-1.20 kgCO2e</w:t>
      </w:r>
      <w:r>
        <w:t xml:space="preserve"> </w:t>
      </w:r>
      <w:r>
        <w:t xml:space="preserve">(A negative value indicates a net carbon sequestration/avoidance from recycling efforts).</w:t>
      </w:r>
    </w:p>
    <w:p>
      <w:pPr>
        <w:numPr>
          <w:ilvl w:val="0"/>
          <w:numId w:val="1014"/>
        </w:numPr>
        <w:pStyle w:val="Compact"/>
      </w:pPr>
      <w:r>
        <w:rPr>
          <w:bCs/>
          <w:b/>
        </w:rPr>
        <w:t xml:space="preserve">Total Downstream Scope 3 Emissions:</w:t>
      </w:r>
      <w:r>
        <w:t xml:space="preserve"> </w:t>
      </w:r>
      <w:r>
        <w:t xml:space="preserve">20.00 + 12.50 - 1.20 =</w:t>
      </w:r>
      <w:r>
        <w:t xml:space="preserve"> </w:t>
      </w:r>
      <w:r>
        <w:rPr>
          <w:bCs/>
          <w:b/>
        </w:rPr>
        <w:t xml:space="preserve">31.30 kgCO2e</w:t>
      </w:r>
    </w:p>
    <w:bookmarkEnd w:id="33"/>
    <w:bookmarkEnd w:id="34"/>
    <w:bookmarkStart w:id="35" w:name="X3bc1906c90a30eb71188b3bd7006d35c0167911"/>
    <w:p>
      <w:pPr>
        <w:pStyle w:val="Heading3"/>
      </w:pPr>
      <w:r>
        <w:t xml:space="preserve">Total Product Carbon Footprint (PCF) for tukplhfjnx</w:t>
      </w:r>
    </w:p>
    <w:p>
      <w:pPr>
        <w:pStyle w:val="FirstParagraph"/>
      </w:pPr>
      <w:r>
        <w:t xml:space="preserve">Summing up emissions across all scopes:</w:t>
      </w:r>
    </w:p>
    <w:p>
      <w:pPr>
        <w:numPr>
          <w:ilvl w:val="0"/>
          <w:numId w:val="1019"/>
        </w:numPr>
        <w:pStyle w:val="Compact"/>
      </w:pPr>
      <w:r>
        <w:t xml:space="preserve">Scope 1 Emissions: 0.00 kgCO2e</w:t>
      </w:r>
    </w:p>
    <w:p>
      <w:pPr>
        <w:numPr>
          <w:ilvl w:val="0"/>
          <w:numId w:val="1019"/>
        </w:numPr>
        <w:pStyle w:val="Compact"/>
      </w:pPr>
      <w:r>
        <w:t xml:space="preserve">Scope 2 Emissions: 1.30 kgCO2e</w:t>
      </w:r>
    </w:p>
    <w:p>
      <w:pPr>
        <w:numPr>
          <w:ilvl w:val="0"/>
          <w:numId w:val="1019"/>
        </w:numPr>
        <w:pStyle w:val="Compact"/>
      </w:pPr>
      <w:r>
        <w:t xml:space="preserve">Scope 3 Emissions: 16.452 (Upstream) + 31.30 (Downstream) = 47.752 kgCO2e</w:t>
      </w:r>
    </w:p>
    <w:p>
      <w:pPr>
        <w:numPr>
          <w:ilvl w:val="0"/>
          <w:numId w:val="1019"/>
        </w:numPr>
        <w:pStyle w:val="Compact"/>
      </w:pPr>
      <w:r>
        <w:rPr>
          <w:bCs/>
          <w:b/>
        </w:rPr>
        <w:t xml:space="preserve">Total PCF:</w:t>
      </w:r>
      <w:r>
        <w:t xml:space="preserve"> </w:t>
      </w:r>
      <w:r>
        <w:t xml:space="preserve">0.00 + 1.30 + 47.752 =</w:t>
      </w:r>
      <w:r>
        <w:t xml:space="preserve"> </w:t>
      </w:r>
      <w:r>
        <w:rPr>
          <w:bCs/>
          <w:b/>
        </w:rPr>
        <w:t xml:space="preserve">49.052 kgCO2e per unit of tukplhfjnx</w:t>
      </w:r>
    </w:p>
    <w:p>
      <w:pPr>
        <w:pStyle w:val="FirstParagraph"/>
      </w:pPr>
      <w:r>
        <w:rPr>
          <w:iCs/>
          <w:i/>
        </w:rPr>
        <w:t xml:space="preserve">Note: The 2026 LSR Standard (effective Jan 1, 2027) focuses on land management, land use change, biogenic products, and CO2 removal technologies. While direct data for land use change associated with `tukplhfjnx` components is not provided, the emission factors for materials (e.g., pulp and paper) inherently account for some land sector impacts. Future iterations would seek more specific LSR data. The commitment to &gt;95% Scope 3 coverage is demonstrated by including all relevant upstream and downstream categories. Mandatory data disaggregation (primary vs. secondary) is a key 2026 requirement; here, the BOM data would ideally be primary supplier data, while transport/EoL factors are secondary.</w:t>
      </w:r>
    </w:p>
    <w:p>
      <w:r>
        <w:pict>
          <v:rect style="width:0;height:1.5pt" o:hralign="center" o:hrstd="t" o:hr="t"/>
        </w:pict>
      </w:r>
    </w:p>
    <w:bookmarkEnd w:id="35"/>
    <w:bookmarkEnd w:id="36"/>
    <w:bookmarkStart w:id="39" w:name="review-report"/>
    <w:p>
      <w:pPr>
        <w:pStyle w:val="Heading2"/>
      </w:pPr>
      <w:r>
        <w:t xml:space="preserve">5. Review &amp; Report</w:t>
      </w:r>
    </w:p>
    <w:bookmarkStart w:id="37" w:name="hotspot-identification"/>
    <w:p>
      <w:pPr>
        <w:pStyle w:val="Heading3"/>
      </w:pPr>
      <w:r>
        <w:t xml:space="preserve">5.1. Hotspot Identification</w:t>
      </w:r>
    </w:p>
    <w:p>
      <w:pPr>
        <w:pStyle w:val="FirstParagraph"/>
      </w:pPr>
      <w:r>
        <w:t xml:space="preserve">The PCF analysis reveals the following key emission hotspots for</w:t>
      </w:r>
      <w:r>
        <w:t xml:space="preserve"> </w:t>
      </w:r>
      <w:r>
        <w:rPr>
          <w:bCs/>
          <w:b/>
        </w:rPr>
        <w:t xml:space="preserve">tukplhfjnx</w:t>
      </w:r>
      <w:r>
        <w:t xml:space="preserve">:</w:t>
      </w:r>
    </w:p>
    <w:p>
      <w:pPr>
        <w:numPr>
          <w:ilvl w:val="0"/>
          <w:numId w:val="1020"/>
        </w:numPr>
        <w:pStyle w:val="Compact"/>
      </w:pPr>
      <w:r>
        <w:rPr>
          <w:bCs/>
          <w:b/>
        </w:rPr>
        <w:t xml:space="preserve">Downstream Transportation (Last-Mile Delivery):</w:t>
      </w:r>
      <w:r>
        <w:t xml:space="preserve"> </w:t>
      </w:r>
      <w:r>
        <w:t xml:space="preserve">At 20.00 kgCO2e, this phase accounts for a significant portion of the total footprint. This highlights the impact of product distribution from the factory to the end-user.</w:t>
      </w:r>
    </w:p>
    <w:p>
      <w:pPr>
        <w:numPr>
          <w:ilvl w:val="0"/>
          <w:numId w:val="1020"/>
        </w:numPr>
        <w:pStyle w:val="Compact"/>
      </w:pPr>
      <w:r>
        <w:rPr>
          <w:bCs/>
          <w:b/>
        </w:rPr>
        <w:t xml:space="preserve">Materials Acquisition &amp; Processing:</w:t>
      </w:r>
      <w:r>
        <w:t xml:space="preserve"> </w:t>
      </w:r>
      <w:r>
        <w:t xml:space="preserve">With 16.05 kgCO2e, the raw materials and their processing, particularly the Aluminum Casing and Lithium-ion Battery, are substantial contributors to the upstream footprint.</w:t>
      </w:r>
    </w:p>
    <w:p>
      <w:pPr>
        <w:numPr>
          <w:ilvl w:val="0"/>
          <w:numId w:val="1020"/>
        </w:numPr>
        <w:pStyle w:val="Compact"/>
      </w:pPr>
      <w:r>
        <w:rPr>
          <w:bCs/>
          <w:b/>
        </w:rPr>
        <w:t xml:space="preserve">Use Phase Energy Consumption:</w:t>
      </w:r>
      <w:r>
        <w:t xml:space="preserve"> </w:t>
      </w:r>
      <w:r>
        <w:t xml:space="preserve">The energy consumed during the product\'s lifespan contributes 12.50 kgCO2e, emphasizing the importance of energy efficiency for product design and user behavior.</w:t>
      </w:r>
    </w:p>
    <w:p>
      <w:pPr>
        <w:numPr>
          <w:ilvl w:val="0"/>
          <w:numId w:val="1020"/>
        </w:numPr>
        <w:pStyle w:val="Compact"/>
      </w:pPr>
      <w:r>
        <w:rPr>
          <w:bCs/>
          <w:b/>
        </w:rPr>
        <w:t xml:space="preserve">Ocean Freight:</w:t>
      </w:r>
      <w:r>
        <w:t xml:space="preserve"> </w:t>
      </w:r>
      <w:r>
        <w:t xml:space="preserve">The long-distance shipping from China to Europe represents a notable upstream transport impact.</w:t>
      </w:r>
    </w:p>
    <w:p>
      <w:pPr>
        <w:pStyle w:val="FirstParagraph"/>
      </w:pPr>
      <w:r>
        <w:t xml:space="preserve">These hotspots indicate clear areas for intervention to reduce the overall environmental impact of tukplhfjnx.</w:t>
      </w:r>
    </w:p>
    <w:bookmarkEnd w:id="37"/>
    <w:bookmarkStart w:id="38" w:name="reliability-and-recommendations"/>
    <w:p>
      <w:pPr>
        <w:pStyle w:val="Heading3"/>
      </w:pPr>
      <w:r>
        <w:t xml:space="preserve">5.2. Reliability and Recommendations</w:t>
      </w:r>
    </w:p>
    <w:p>
      <w:pPr>
        <w:pStyle w:val="FirstParagraph"/>
      </w:pPr>
      <w:r>
        <w:t xml:space="preserve">The reliability of this PCF is good, given the use of a detailed BOM and adherence to the GHG Protocol. However, it is essential to acknowledge the reliance on illustrative data for several parameters (`svtwhouopv`, `kqywkrnvvm`, `zeeemxlwfo`, `jrqsukmxik`, `uiloslswgd`, `rroquimnmw`, `Select Mode`, `Delivery Type`) due to their placeholder nature in the input.</w:t>
      </w:r>
    </w:p>
    <w:p>
      <w:pPr>
        <w:pStyle w:val="BodyText"/>
      </w:pPr>
      <w:r>
        <w:rPr>
          <w:bCs/>
          <w:b/>
        </w:rPr>
        <w:t xml:space="preserve">Recommendations for iwskeekiwx:</w:t>
      </w:r>
    </w:p>
    <w:p>
      <w:pPr>
        <w:numPr>
          <w:ilvl w:val="0"/>
          <w:numId w:val="1021"/>
        </w:numPr>
        <w:pStyle w:val="Compact"/>
      </w:pPr>
      <w:r>
        <w:rPr>
          <w:bCs/>
          <w:b/>
        </w:rPr>
        <w:t xml:space="preserve">Supply Chain Engagement:</w:t>
      </w:r>
      <w:r>
        <w:t xml:space="preserve"> </w:t>
      </w:r>
      <w:r>
        <w:t xml:space="preserve">Prioritize working with suppliers to obtain primary, activity-specific emissions data for materials, especially for high-impact components like aluminum and batteries, to further enhance Scope 3 accuracy as mandated by 2026 GHG Protocol revisions.</w:t>
      </w:r>
    </w:p>
    <w:p>
      <w:pPr>
        <w:numPr>
          <w:ilvl w:val="0"/>
          <w:numId w:val="1021"/>
        </w:numPr>
        <w:pStyle w:val="Compact"/>
      </w:pPr>
      <w:r>
        <w:rPr>
          <w:bCs/>
          <w:b/>
        </w:rPr>
        <w:t xml:space="preserve">Logistics Optimization:</w:t>
      </w:r>
      <w:r>
        <w:t xml:space="preserve"> </w:t>
      </w:r>
      <w:r>
        <w:t xml:space="preserve">Investigate opportunities to optimize transportation modes and routes, especially for last-mile delivery and international shipping, to reduce associated emissions. Consider electrification of delivery fleets or partnering with low-carbon logistics providers.</w:t>
      </w:r>
    </w:p>
    <w:p>
      <w:pPr>
        <w:numPr>
          <w:ilvl w:val="0"/>
          <w:numId w:val="1021"/>
        </w:numPr>
        <w:pStyle w:val="Compact"/>
      </w:pPr>
      <w:r>
        <w:rPr>
          <w:bCs/>
          <w:b/>
        </w:rPr>
        <w:t xml:space="preserve">Product Design for Energy Efficiency:</w:t>
      </w:r>
      <w:r>
        <w:t xml:space="preserve"> </w:t>
      </w:r>
      <w:r>
        <w:t xml:space="preserve">Focus on improving the energy efficiency of tukplhfjnx during its use phase to reduce consumer electricity consumption over its lifespan.</w:t>
      </w:r>
    </w:p>
    <w:p>
      <w:pPr>
        <w:numPr>
          <w:ilvl w:val="0"/>
          <w:numId w:val="1021"/>
        </w:numPr>
        <w:pStyle w:val="Compact"/>
      </w:pPr>
      <w:r>
        <w:rPr>
          <w:bCs/>
          <w:b/>
        </w:rPr>
        <w:t xml:space="preserve">Circular Economy Integration:</w:t>
      </w:r>
      <w:r>
        <w:t xml:space="preserve"> </w:t>
      </w:r>
      <w:r>
        <w:t xml:space="preserve">Strengthen existing "Product Return &amp; Refurbishment Programs" (`fjspzssrnq`) and explore expanding material recovery beyond the current 75% recyclability target (`uiloslswgd`) to maximize circularity benefits and further reduce End-of-Life impacts.</w:t>
      </w:r>
    </w:p>
    <w:p>
      <w:pPr>
        <w:numPr>
          <w:ilvl w:val="0"/>
          <w:numId w:val="1021"/>
        </w:numPr>
        <w:pStyle w:val="Compact"/>
      </w:pPr>
      <w:r>
        <w:rPr>
          <w:bCs/>
          <w:b/>
        </w:rPr>
        <w:t xml:space="preserve">Renewable Energy Transition:</w:t>
      </w:r>
      <w:r>
        <w:t xml:space="preserve"> </w:t>
      </w:r>
      <w:r>
        <w:t xml:space="preserve">Continue increasing the percentage of renewable energy used in manufacturing beyond the current 60% (`rroquimnmw`) to further minimize Scope 2 emissions.</w:t>
      </w:r>
    </w:p>
    <w:p>
      <w:pPr>
        <w:numPr>
          <w:ilvl w:val="0"/>
          <w:numId w:val="1021"/>
        </w:numPr>
        <w:pStyle w:val="Compact"/>
      </w:pPr>
      <w:r>
        <w:rPr>
          <w:bCs/>
          <w:b/>
        </w:rPr>
        <w:t xml:space="preserve">LSR Standard Implementation:</w:t>
      </w:r>
      <w:r>
        <w:t xml:space="preserve"> </w:t>
      </w:r>
      <w:r>
        <w:t xml:space="preserve">For future PCF analyses, actively seek and integrate specific land-use data related to raw material sourcing to fully comply with the GHG Protocol\'s 2026 Land Sector and Removals Standard, especially if agricultural or bio-based materials are part of the value chain.</w:t>
      </w:r>
    </w:p>
    <w:p>
      <w:r>
        <w:pict>
          <v:rect style="width:0;height:1.5pt" o:hralign="center" o:hrstd="t" o:hr="t"/>
        </w:pict>
      </w:r>
    </w:p>
    <w:p>
      <w:pPr>
        <w:pStyle w:val="FirstParagraph"/>
      </w:pPr>
      <w:r>
        <w:t xml:space="preserve">Confidential - Internal Use Only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tukplhfjnx</dc:title>
  <dc:creator/>
  <dc:description>Detailed Product Carbon Footprint (PCF) analysis report for product tukplhfjnx, adhering to GHG Protocol standards and 2026 updates.</dc:description>
  <dc:language>en</dc:language>
  <cp:keywords/>
  <dcterms:created xsi:type="dcterms:W3CDTF">2026-05-30T20:12:22Z</dcterms:created>
  <dcterms:modified xsi:type="dcterms:W3CDTF">2026-05-30T20:12:22Z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