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tufifzulrk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tufifzulrk**</w:t>
      </w:r>
    </w:p>
    <w:p>
      <w:pPr>
        <w:pStyle w:val="BodyText"/>
      </w:pPr>
      <w:r>
        <w:rPr>
          <w:bCs/>
          <w:b/>
        </w:rPr>
        <w:t xml:space="preserve">Company Name:</w:t>
      </w:r>
      <w:r>
        <w:t xml:space="preserve"> </w:t>
      </w:r>
      <w:r>
        <w:t xml:space="preserve">tdklrxgukf</w:t>
      </w:r>
    </w:p>
    <w:p>
      <w:pPr>
        <w:pStyle w:val="BodyText"/>
      </w:pPr>
      <w:r>
        <w:rPr>
          <w:bCs/>
          <w:b/>
        </w:rPr>
        <w:t xml:space="preserve">Senior Sustainability Consultant:</w:t>
      </w:r>
      <w:r>
        <w:t xml:space="preserve"> </w:t>
      </w:r>
      <w:r>
        <w:t xml:space="preserve">uhugiojvnq</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Due to the placeholder nature of some input parameters, illustrative data has been used for specific calculations. While efforts have been made to use representative values, actual emissions may vary based on precise primary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tufifzulrk</w:t>
      </w:r>
      <w:r>
        <w:t xml:space="preserve">, manufactured by</w:t>
      </w:r>
      <w:r>
        <w:t xml:space="preserve"> </w:t>
      </w:r>
      <w:r>
        <w:rPr>
          <w:bCs/>
          <w:b/>
        </w:rPr>
        <w:t xml:space="preserve">tdklrxgukf</w:t>
      </w:r>
      <w:r>
        <w:t xml:space="preserve">. The analysis was conducted by</w:t>
      </w:r>
      <w:r>
        <w:t xml:space="preserve"> </w:t>
      </w:r>
      <w:r>
        <w:rPr>
          <w:bCs/>
          <w:b/>
        </w:rPr>
        <w:t xml:space="preserve">uhugiojvnq</w:t>
      </w:r>
      <w:r>
        <w:t xml:space="preserve">, Senior Sustainability Consultant, in accordance with the Greenhouse Gas (GHG) Protocol, including the 2026 Land Sector and Removals (LSR) Standard update and ensuring over 95% coverage for Scope 3 emissions. The goal is to quantify the cradle-to-gate (factory gate) carbon emissions, identify key hotspots, and propose actionable insights for emission reduction.</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tufifzulrk</w:t>
      </w:r>
      <w:r>
        <w:t xml:space="preserve">. This unit serves as the reference basis for all quantified environmental impacts throughout the product\'s life cycle.</w:t>
      </w:r>
    </w:p>
    <w:bookmarkEnd w:id="23"/>
    <w:bookmarkStart w:id="24" w:name="system-boundary"/>
    <w:p>
      <w:pPr>
        <w:pStyle w:val="Heading3"/>
      </w:pPr>
      <w:r>
        <w:t xml:space="preserve">1.2 System Boundary</w:t>
      </w:r>
    </w:p>
    <w:p>
      <w:pPr>
        <w:pStyle w:val="FirstParagraph"/>
      </w:pPr>
      <w:r>
        <w:t xml:space="preserve">The system boundary for this analysis is "</w:t>
      </w:r>
      <w:r>
        <w:rPr>
          <w:bCs/>
          <w:b/>
        </w:rPr>
        <w:t xml:space="preserve">factory_gate</w:t>
      </w:r>
      <w:r>
        <w:t xml:space="preserve">," encompassing:</w:t>
      </w:r>
    </w:p>
    <w:p>
      <w:pPr>
        <w:numPr>
          <w:ilvl w:val="0"/>
          <w:numId w:val="1001"/>
        </w:numPr>
        <w:pStyle w:val="Compact"/>
      </w:pPr>
      <w:r>
        <w:t xml:space="preserve">Raw material extraction and processing (upstream)</w:t>
      </w:r>
    </w:p>
    <w:p>
      <w:pPr>
        <w:numPr>
          <w:ilvl w:val="0"/>
          <w:numId w:val="1001"/>
        </w:numPr>
        <w:pStyle w:val="Compact"/>
      </w:pPr>
      <w:r>
        <w:t xml:space="preserve">Inbound transportation of raw materials to the manufacturing facility</w:t>
      </w:r>
    </w:p>
    <w:p>
      <w:pPr>
        <w:numPr>
          <w:ilvl w:val="0"/>
          <w:numId w:val="1001"/>
        </w:numPr>
        <w:pStyle w:val="Compact"/>
      </w:pPr>
      <w:r>
        <w:t xml:space="preserve">Manufacturing processes at the facility</w:t>
      </w:r>
    </w:p>
    <w:p>
      <w:pPr>
        <w:numPr>
          <w:ilvl w:val="0"/>
          <w:numId w:val="1001"/>
        </w:numPr>
        <w:pStyle w:val="Compact"/>
      </w:pPr>
      <w:r>
        <w:t xml:space="preserve">Packaging of the final product</w:t>
      </w:r>
    </w:p>
    <w:p>
      <w:pPr>
        <w:pStyle w:val="FirstParagraph"/>
      </w:pPr>
      <w:r>
        <w:t xml:space="preserve">While the primary boundary is factory gate, for a more holistic view and to meet Scope 3 requirements, indicative calculations for the Use Phase and End-of-Life (EoL) scenarios have also been included.</w:t>
      </w:r>
    </w:p>
    <w:bookmarkEnd w:id="24"/>
    <w:bookmarkStart w:id="25"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regions for raw material sourcing and distribution. Emission factors and energy mixes are selected to reflect these geographical considerations where data allows.</w:t>
      </w:r>
    </w:p>
    <w:bookmarkEnd w:id="25"/>
    <w:bookmarkStart w:id="26" w:name="allocation"/>
    <w:p>
      <w:pPr>
        <w:pStyle w:val="Heading3"/>
      </w:pPr>
      <w:r>
        <w:t xml:space="preserve">1.4 Allocation</w:t>
      </w:r>
    </w:p>
    <w:p>
      <w:pPr>
        <w:pStyle w:val="FirstParagraph"/>
      </w:pPr>
      <w:r>
        <w:t xml:space="preserve">Emissions are allocated based on mass for material inputs. For processes with multiple outputs, economic allocation is considered where appropriate, but primarily, direct physical allocation methods are prioritized to reflect the product\'s true impact.</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data points collected or estimated for the PCF analysis of</w:t>
      </w:r>
      <w:r>
        <w:t xml:space="preserve"> </w:t>
      </w:r>
      <w:r>
        <w:rPr>
          <w:bCs/>
          <w:b/>
        </w:rPr>
        <w:t xml:space="preserve">tufifzulrk</w:t>
      </w:r>
      <w:r>
        <w:t xml:space="preserve">. Due to the placeholder nature of the input strings (e.g., zhrrikyd, rszfurwrjn, Select Mode, etc.), illustrative yet representative values and scenarios have been constructed to perform the detailed analysis.</w:t>
      </w:r>
    </w:p>
    <w:bookmarkStart w:id="28" w:name="X1b0368d9fa279ce5f642e6e7a88ce573ab93153"/>
    <w:p>
      <w:pPr>
        <w:pStyle w:val="Heading3"/>
      </w:pPr>
      <w:r>
        <w:t xml:space="preserve">2.1 Raw Material Acquisition &amp; Processing (Scope 3 - Upstream)</w:t>
      </w:r>
    </w:p>
    <w:p>
      <w:pPr>
        <w:pStyle w:val="FirstParagraph"/>
      </w:pPr>
      <w:r>
        <w:t xml:space="preserve">The Detailed Bill of Materials (BOM) provides a foundational understanding of the product\'s composition. As "zhrrikyd" is a placeholder string, an illustrative BOM for a typical electronic device is presented below, adhering to the specified format (ID, Description, Category, Process, Qty, Unit, Emission Factor, Total Carbon). The emission factors are based on industry-standard sources (e.g., Ecoinvent/DEFRA), representing the cradle-to-gate impact of the raw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(illustrative)</w:t>
            </w:r>
          </w:p>
        </w:tc>
        <w:tc>
          <w:tcPr/>
          <w:p>
            <w:pPr>
              <w:pStyle w:val="Compact"/>
              <w:jc w:val="left"/>
            </w:pPr>
            <w:r>
              <w:t xml:space="preserve">3.50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 (illustrative)</w:t>
            </w:r>
          </w:p>
        </w:tc>
        <w:tc>
          <w:tcPr/>
          <w:p>
            <w:pPr>
              <w:pStyle w:val="Compact"/>
              <w:jc w:val="left"/>
            </w:pPr>
            <w:r>
              <w:t xml:space="preserve">0.90</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 (illustrative)</w:t>
            </w:r>
          </w:p>
        </w:tc>
        <w:tc>
          <w:tcPr/>
          <w:p>
            <w:pPr>
              <w:pStyle w:val="Compact"/>
              <w:jc w:val="left"/>
            </w:pPr>
            <w:r>
              <w:t xml:space="preserve">1.00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 (illustrative)</w:t>
            </w:r>
          </w:p>
        </w:tc>
        <w:tc>
          <w:tcPr/>
          <w:p>
            <w:pPr>
              <w:pStyle w:val="Compact"/>
              <w:jc w:val="left"/>
            </w:pPr>
            <w:r>
              <w:t xml:space="preserve">0.25</w:t>
            </w:r>
          </w:p>
        </w:tc>
      </w:tr>
      <w:tr>
        <w:tc>
          <w:tcPr/>
          <w:p>
            <w:pPr>
              <w:pStyle w:val="Compact"/>
              <w:jc w:val="left"/>
            </w:pPr>
            <w:r>
              <w:t xml:space="preserve">M5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 (illustrative)</w:t>
            </w:r>
          </w:p>
        </w:tc>
        <w:tc>
          <w:tcPr/>
          <w:p>
            <w:pPr>
              <w:pStyle w:val="Compact"/>
              <w:jc w:val="left"/>
            </w:pPr>
            <w:r>
              <w:t xml:space="preserve">1.60</w:t>
            </w:r>
          </w:p>
        </w:tc>
      </w:tr>
      <w:tr>
        <w:tc>
          <w:tcPr/>
          <w:p>
            <w:pPr>
              <w:pStyle w:val="Compact"/>
              <w:jc w:val="left"/>
            </w:pPr>
            <w:r>
              <w:t xml:space="preserve">M6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 &amp; Paper</w:t>
            </w:r>
          </w:p>
        </w:tc>
        <w:tc>
          <w:tcPr/>
          <w:p>
            <w:pPr>
              <w:pStyle w:val="Compact"/>
              <w:jc w:val="left"/>
            </w:pPr>
            <w:r>
              <w:t xml:space="preserve">0.2</w:t>
            </w:r>
          </w:p>
        </w:tc>
        <w:tc>
          <w:tcPr/>
          <w:p>
            <w:pPr>
              <w:pStyle w:val="Compact"/>
              <w:jc w:val="left"/>
            </w:pPr>
            <w:r>
              <w:t xml:space="preserve">kg</w:t>
            </w:r>
          </w:p>
        </w:tc>
        <w:tc>
          <w:tcPr/>
          <w:p>
            <w:pPr>
              <w:pStyle w:val="Compact"/>
              <w:jc w:val="left"/>
            </w:pPr>
            <w:r>
              <w:t xml:space="preserve">0.8 (illustrative)</w:t>
            </w:r>
          </w:p>
        </w:tc>
        <w:tc>
          <w:tcPr/>
          <w:p>
            <w:pPr>
              <w:pStyle w:val="Compact"/>
              <w:jc w:val="left"/>
            </w:pPr>
            <w:r>
              <w:t xml:space="preserve">0.16</w:t>
            </w:r>
          </w:p>
        </w:tc>
      </w:tr>
      <w:tr>
        <w:tc>
          <w:tcPr>
            <w:gridSpan w:val="7"/>
          </w:tcPr>
          <w:p>
            <w:pPr>
              <w:pStyle w:val="Compact"/>
              <w:jc w:val="right"/>
            </w:pPr>
            <w:r>
              <w:rPr>
                <w:bCs/>
                <w:b/>
              </w:rPr>
              <w:t xml:space="preserve">Total Material Emissions:</w:t>
            </w:r>
          </w:p>
        </w:tc>
        <w:tc>
          <w:tcPr/>
          <w:p>
            <w:pPr>
              <w:pStyle w:val="Compact"/>
              <w:jc w:val="left"/>
            </w:pPr>
            <w:r>
              <w:rPr>
                <w:bCs/>
                <w:b/>
              </w:rPr>
              <w:t xml:space="preserve">7.41 kg CO2e</w:t>
            </w:r>
          </w:p>
        </w:tc>
      </w:tr>
    </w:tbl>
    <w:bookmarkEnd w:id="28"/>
    <w:bookmarkStart w:id="29" w:name="manufacturing-phase-scope-1-2"/>
    <w:p>
      <w:pPr>
        <w:pStyle w:val="Heading3"/>
      </w:pPr>
      <w:r>
        <w:t xml:space="preserve">2.2 Manufacturing Phase (Scope 1 &amp; 2)</w:t>
      </w:r>
    </w:p>
    <w:p>
      <w:pPr>
        <w:pStyle w:val="FirstParagraph"/>
      </w:pPr>
      <w:r>
        <w:t xml:space="preserve">The production phase for</w:t>
      </w:r>
      <w:r>
        <w:t xml:space="preserve"> </w:t>
      </w:r>
      <w:r>
        <w:rPr>
          <w:bCs/>
          <w:b/>
        </w:rPr>
        <w:t xml:space="preserve">tufifzulrk</w:t>
      </w:r>
      <w:r>
        <w:t xml:space="preserve"> </w:t>
      </w:r>
      <w:r>
        <w:t xml:space="preserve">occurs in China. Energy consumption and renewable energy usage are critical inputs.</w:t>
      </w:r>
    </w:p>
    <w:p>
      <w:pPr>
        <w:numPr>
          <w:ilvl w:val="0"/>
          <w:numId w:val="1002"/>
        </w:numPr>
        <w:pStyle w:val="Compact"/>
      </w:pPr>
      <w:r>
        <w:rPr>
          <w:bCs/>
          <w:b/>
        </w:rPr>
        <w:t xml:space="preserve">Energy Intensity (kWh/unit):</w:t>
      </w:r>
      <w:r>
        <w:t xml:space="preserve"> </w:t>
      </w:r>
      <w:r>
        <w:t xml:space="preserve">nxzdprflzl (illustrative: 15 kWh/unit)</w:t>
      </w:r>
    </w:p>
    <w:p>
      <w:pPr>
        <w:numPr>
          <w:ilvl w:val="0"/>
          <w:numId w:val="1002"/>
        </w:numPr>
        <w:pStyle w:val="Compact"/>
      </w:pPr>
      <w:r>
        <w:rPr>
          <w:bCs/>
          <w:b/>
        </w:rPr>
        <w:t xml:space="preserve">Renewable Energy Usage:</w:t>
      </w:r>
      <w:r>
        <w:t xml:space="preserve"> </w:t>
      </w:r>
      <w:r>
        <w:t xml:space="preserve">mkfvhhgeso (illustrative: 50%)</w:t>
      </w:r>
    </w:p>
    <w:p>
      <w:pPr>
        <w:numPr>
          <w:ilvl w:val="0"/>
          <w:numId w:val="1002"/>
        </w:numPr>
        <w:pStyle w:val="Compact"/>
      </w:pPr>
      <w:r>
        <w:rPr>
          <w:bCs/>
          <w:b/>
        </w:rPr>
        <w:t xml:space="preserve">Electricity Emission Factor (China Grid Average):</w:t>
      </w:r>
      <w:r>
        <w:t xml:space="preserve"> </w:t>
      </w:r>
      <w:r>
        <w:t xml:space="preserve">0.65 kg CO2e/kWh (illustrative, based on average 2022 provincial grid carbon footprint factors in China, considering trends).</w:t>
      </w:r>
    </w:p>
    <w:p>
      <w:pPr>
        <w:pStyle w:val="FirstParagraph"/>
      </w:pPr>
      <w:r>
        <w:t xml:space="preserve">Direct emissions (Scope 1) from on-site fuel combustion are assumed to be negligible or covered by Scope 2 if electricity is purchased. Purchased electricity emissions (Scope 2) are calculated based on the energy mix.</w:t>
      </w:r>
    </w:p>
    <w:bookmarkEnd w:id="29"/>
    <w:bookmarkStart w:id="30" w:name="X981923b8cb60f0edee598a5efe02199461582eb"/>
    <w:p>
      <w:pPr>
        <w:pStyle w:val="Heading3"/>
      </w:pPr>
      <w:r>
        <w:t xml:space="preserve">2.3 Transportation (Scope 3 - Upstream &amp; Downstream)</w:t>
      </w:r>
    </w:p>
    <w:p>
      <w:pPr>
        <w:pStyle w:val="FirstParagraph"/>
      </w:pPr>
      <w:r>
        <w:t xml:space="preserve">Logistics data is incorporated into the supply chain analysis. As "Select Mode", "rszfurwrjn", and "Delivery Type" are placeholders, illustrative scenarios are used.</w:t>
      </w:r>
    </w:p>
    <w:p>
      <w:pPr>
        <w:numPr>
          <w:ilvl w:val="0"/>
          <w:numId w:val="1003"/>
        </w:numPr>
        <w:pStyle w:val="Compact"/>
      </w:pPr>
      <w:r>
        <w:rPr>
          <w:bCs/>
          <w:b/>
        </w:rPr>
        <w:t xml:space="preserve">Inbound Transport (Raw Materials to Factory in China):</w:t>
      </w:r>
    </w:p>
    <w:p>
      <w:pPr>
        <w:numPr>
          <w:ilvl w:val="1"/>
          <w:numId w:val="1004"/>
        </w:numPr>
        <w:pStyle w:val="Compact"/>
      </w:pPr>
      <w:r>
        <w:rPr>
          <w:bCs/>
          <w:b/>
        </w:rPr>
        <w:t xml:space="preserve">Mode:</w:t>
      </w:r>
      <w:r>
        <w:t xml:space="preserve"> </w:t>
      </w:r>
      <w:r>
        <w:t xml:space="preserve">Ocean Freight (illustrative)</w:t>
      </w:r>
    </w:p>
    <w:p>
      <w:pPr>
        <w:numPr>
          <w:ilvl w:val="1"/>
          <w:numId w:val="1004"/>
        </w:numPr>
        <w:pStyle w:val="Compact"/>
      </w:pPr>
      <w:r>
        <w:rPr>
          <w:bCs/>
          <w:b/>
        </w:rPr>
        <w:t xml:space="preserve">Distance:</w:t>
      </w:r>
      <w:r>
        <w:t xml:space="preserve"> </w:t>
      </w:r>
      <w:r>
        <w:t xml:space="preserve">15,000 km (Europe to China, illustrative)</w:t>
      </w:r>
    </w:p>
    <w:p>
      <w:pPr>
        <w:numPr>
          <w:ilvl w:val="1"/>
          <w:numId w:val="1004"/>
        </w:numPr>
        <w:pStyle w:val="Compact"/>
      </w:pPr>
      <w:r>
        <w:rPr>
          <w:bCs/>
          <w:b/>
        </w:rPr>
        <w:t xml:space="preserve">Weight of Materials:</w:t>
      </w:r>
      <w:r>
        <w:t xml:space="preserve"> </w:t>
      </w:r>
      <w:r>
        <w:t xml:space="preserve">Approx. 1.23 kg per unit of tufifzulrk (sum of illustrative BOM)</w:t>
      </w:r>
    </w:p>
    <w:p>
      <w:pPr>
        <w:numPr>
          <w:ilvl w:val="1"/>
          <w:numId w:val="1004"/>
        </w:numPr>
        <w:pStyle w:val="Compact"/>
      </w:pPr>
      <w:r>
        <w:rPr>
          <w:bCs/>
          <w:b/>
        </w:rPr>
        <w:t xml:space="preserve">Emission Factor (Ocean Freight):</w:t>
      </w:r>
      <w:r>
        <w:t xml:space="preserve"> </w:t>
      </w:r>
      <w:r>
        <w:t xml:space="preserve">0.016 kg CO2e/tonne-km (illustrative, based on container ship averages)</w:t>
      </w:r>
    </w:p>
    <w:p>
      <w:pPr>
        <w:numPr>
          <w:ilvl w:val="0"/>
          <w:numId w:val="1003"/>
        </w:numPr>
        <w:pStyle w:val="Compact"/>
      </w:pPr>
      <w:r>
        <w:rPr>
          <w:bCs/>
          <w:b/>
        </w:rPr>
        <w:t xml:space="preserve">Outbound Transport (Factory in China to European Distribution Hub):</w:t>
      </w:r>
    </w:p>
    <w:p>
      <w:pPr>
        <w:numPr>
          <w:ilvl w:val="1"/>
          <w:numId w:val="1005"/>
        </w:numPr>
        <w:pStyle w:val="Compact"/>
      </w:pPr>
      <w:r>
        <w:rPr>
          <w:bCs/>
          <w:b/>
        </w:rPr>
        <w:t xml:space="preserve">Mode:</w:t>
      </w:r>
      <w:r>
        <w:t xml:space="preserve"> </w:t>
      </w:r>
      <w:r>
        <w:t xml:space="preserve">Ocean Freight (illustrative)</w:t>
      </w:r>
    </w:p>
    <w:p>
      <w:pPr>
        <w:numPr>
          <w:ilvl w:val="1"/>
          <w:numId w:val="1005"/>
        </w:numPr>
        <w:pStyle w:val="Compact"/>
      </w:pPr>
      <w:r>
        <w:rPr>
          <w:bCs/>
          <w:b/>
        </w:rPr>
        <w:t xml:space="preserve">Distance:</w:t>
      </w:r>
      <w:r>
        <w:t xml:space="preserve"> </w:t>
      </w:r>
      <w:r>
        <w:t xml:space="preserve">15,000 km (China to Europe, illustrative)</w:t>
      </w:r>
    </w:p>
    <w:p>
      <w:pPr>
        <w:numPr>
          <w:ilvl w:val="1"/>
          <w:numId w:val="1005"/>
        </w:numPr>
        <w:pStyle w:val="Compact"/>
      </w:pPr>
      <w:r>
        <w:rPr>
          <w:bCs/>
          <w:b/>
        </w:rPr>
        <w:t xml:space="preserve">Weight of Product:</w:t>
      </w:r>
      <w:r>
        <w:t xml:space="preserve"> </w:t>
      </w:r>
      <w:r>
        <w:t xml:space="preserve">Approx. 1.23 kg per unit of tufifzulrk</w:t>
      </w:r>
    </w:p>
    <w:p>
      <w:pPr>
        <w:numPr>
          <w:ilvl w:val="1"/>
          <w:numId w:val="1005"/>
        </w:numPr>
        <w:pStyle w:val="Compact"/>
      </w:pPr>
      <w:r>
        <w:rPr>
          <w:bCs/>
          <w:b/>
        </w:rPr>
        <w:t xml:space="preserve">Emission Factor (Ocean Freight):</w:t>
      </w:r>
      <w:r>
        <w:t xml:space="preserve"> </w:t>
      </w:r>
      <w:r>
        <w:t xml:space="preserve">0.016 kg CO2e/tonne-km (illustrative)</w:t>
      </w:r>
    </w:p>
    <w:p>
      <w:pPr>
        <w:numPr>
          <w:ilvl w:val="0"/>
          <w:numId w:val="1003"/>
        </w:numPr>
        <w:pStyle w:val="Compact"/>
      </w:pPr>
      <w:r>
        <w:rPr>
          <w:bCs/>
          <w:b/>
        </w:rPr>
        <w:t xml:space="preserve">Last-Mile Delivery (European Distribution Hub to Customer):</w:t>
      </w:r>
    </w:p>
    <w:p>
      <w:pPr>
        <w:numPr>
          <w:ilvl w:val="1"/>
          <w:numId w:val="1006"/>
        </w:numPr>
        <w:pStyle w:val="Compact"/>
      </w:pPr>
      <w:r>
        <w:rPr>
          <w:bCs/>
          <w:b/>
        </w:rPr>
        <w:t xml:space="preserve">Channel:</w:t>
      </w:r>
      <w:r>
        <w:t xml:space="preserve"> </w:t>
      </w:r>
      <w:r>
        <w:t xml:space="preserve">Delivery Type (illustrative: Road Freight - Courier Van for individual packages)</w:t>
      </w:r>
    </w:p>
    <w:p>
      <w:pPr>
        <w:numPr>
          <w:ilvl w:val="1"/>
          <w:numId w:val="1006"/>
        </w:numPr>
        <w:pStyle w:val="Compact"/>
      </w:pPr>
      <w:r>
        <w:rPr>
          <w:bCs/>
          <w:b/>
        </w:rPr>
        <w:t xml:space="preserve">Distance:</w:t>
      </w:r>
      <w:r>
        <w:t xml:space="preserve"> </w:t>
      </w:r>
      <w:r>
        <w:t xml:space="preserve">rszfurwrjn (illustrative: 50 km)</w:t>
      </w:r>
    </w:p>
    <w:p>
      <w:pPr>
        <w:numPr>
          <w:ilvl w:val="1"/>
          <w:numId w:val="1006"/>
        </w:numPr>
        <w:pStyle w:val="Compact"/>
      </w:pPr>
      <w:r>
        <w:rPr>
          <w:bCs/>
          <w:b/>
        </w:rPr>
        <w:t xml:space="preserve">Weight of Product:</w:t>
      </w:r>
      <w:r>
        <w:t xml:space="preserve"> </w:t>
      </w:r>
      <w:r>
        <w:t xml:space="preserve">Approx. 1.23 kg per unit of tufifzulrk (assumed 2kg packaged weight for last mile calculations)</w:t>
      </w:r>
    </w:p>
    <w:p>
      <w:pPr>
        <w:numPr>
          <w:ilvl w:val="1"/>
          <w:numId w:val="1006"/>
        </w:numPr>
        <w:pStyle w:val="Compact"/>
      </w:pPr>
      <w:r>
        <w:rPr>
          <w:bCs/>
          <w:b/>
        </w:rPr>
        <w:t xml:space="preserve">Emission Factor (Road Freight - Last Mile):</w:t>
      </w:r>
      <w:r>
        <w:t xml:space="preserve"> </w:t>
      </w:r>
      <w:r>
        <w:t xml:space="preserve">0.105 kg CO2e/tonne-km (illustrative, derived from 0.21kg CO2e per 1000km for a 2kg package)</w:t>
      </w:r>
    </w:p>
    <w:bookmarkEnd w:id="30"/>
    <w:bookmarkStart w:id="31" w:name="use-phase-scope-3---downstream"/>
    <w:p>
      <w:pPr>
        <w:pStyle w:val="Heading3"/>
      </w:pPr>
      <w:r>
        <w:t xml:space="preserve">2.4 Use Phase (Scope 3 - Downstream)</w:t>
      </w:r>
    </w:p>
    <w:p>
      <w:pPr>
        <w:pStyle w:val="FirstParagraph"/>
      </w:pPr>
      <w:r>
        <w:t xml:space="preserve">The \'Use Phase\' calculation incorporates specific durability and consumption data.</w:t>
      </w:r>
    </w:p>
    <w:p>
      <w:pPr>
        <w:numPr>
          <w:ilvl w:val="0"/>
          <w:numId w:val="1007"/>
        </w:numPr>
        <w:pStyle w:val="Compact"/>
      </w:pPr>
      <w:r>
        <w:rPr>
          <w:bCs/>
          <w:b/>
        </w:rPr>
        <w:t xml:space="preserve">Product Lifespan:</w:t>
      </w:r>
      <w:r>
        <w:t xml:space="preserve"> </w:t>
      </w:r>
      <w:r>
        <w:t xml:space="preserve">jyofmfwhzj (illustrative: 5 years)</w:t>
      </w:r>
    </w:p>
    <w:p>
      <w:pPr>
        <w:numPr>
          <w:ilvl w:val="0"/>
          <w:numId w:val="1007"/>
        </w:numPr>
        <w:pStyle w:val="Compact"/>
      </w:pPr>
      <w:r>
        <w:rPr>
          <w:bCs/>
          <w:b/>
        </w:rPr>
        <w:t xml:space="preserve">Energy Consumption in Use:</w:t>
      </w:r>
      <w:r>
        <w:t xml:space="preserve"> </w:t>
      </w:r>
      <w:r>
        <w:t xml:space="preserve">ueqvpemmug (illustrative: 20 kWh/year)</w:t>
      </w:r>
    </w:p>
    <w:p>
      <w:pPr>
        <w:numPr>
          <w:ilvl w:val="0"/>
          <w:numId w:val="1007"/>
        </w:numPr>
        <w:pStyle w:val="Compact"/>
      </w:pPr>
      <w:r>
        <w:rPr>
          <w:bCs/>
          <w:b/>
        </w:rPr>
        <w:t xml:space="preserve">Electricity Emission Factor (European Grid Average):</w:t>
      </w:r>
      <w:r>
        <w:t xml:space="preserve"> </w:t>
      </w:r>
      <w:r>
        <w:t xml:space="preserve">0.25 kg CO2e/kWh (illustrative, representing a cleaner grid than China, generic European average)</w:t>
      </w:r>
    </w:p>
    <w:bookmarkEnd w:id="31"/>
    <w:bookmarkStart w:id="32" w:name="X2449e76f36fce2c9fec3c701a472f020b80894d"/>
    <w:p>
      <w:pPr>
        <w:pStyle w:val="Heading3"/>
      </w:pPr>
      <w:r>
        <w:t xml:space="preserve">2.5 End-of-Life (EoL) Scenarios (Scope 3 - Downstream)</w:t>
      </w:r>
    </w:p>
    <w:p>
      <w:pPr>
        <w:pStyle w:val="FirstParagraph"/>
      </w:pPr>
      <w:r>
        <w:t xml:space="preserve">EoL scenarios reflect circular economy impacts.</w:t>
      </w:r>
    </w:p>
    <w:p>
      <w:pPr>
        <w:numPr>
          <w:ilvl w:val="0"/>
          <w:numId w:val="1008"/>
        </w:numPr>
        <w:pStyle w:val="Compact"/>
      </w:pPr>
      <w:r>
        <w:rPr>
          <w:bCs/>
          <w:b/>
        </w:rPr>
        <w:t xml:space="preserve">Recyclability Percentage:</w:t>
      </w:r>
      <w:r>
        <w:t xml:space="preserve"> </w:t>
      </w:r>
      <w:r>
        <w:t xml:space="preserve">wmizlkvehu (illustrative: 80%)</w:t>
      </w:r>
    </w:p>
    <w:p>
      <w:pPr>
        <w:numPr>
          <w:ilvl w:val="0"/>
          <w:numId w:val="1008"/>
        </w:numPr>
        <w:pStyle w:val="Compact"/>
      </w:pPr>
      <w:r>
        <w:rPr>
          <w:bCs/>
          <w:b/>
        </w:rPr>
        <w:t xml:space="preserve">Circular/Take-back Programs:</w:t>
      </w:r>
      <w:r>
        <w:t xml:space="preserve"> </w:t>
      </w:r>
      <w:r>
        <w:t xml:space="preserve">sgxdhhhttm (illustrative: tdklrxgukf operates a product take-back program for end-of-life products, facilitating material recovery and recycling.)</w:t>
      </w:r>
    </w:p>
    <w:p>
      <w:pPr>
        <w:pStyle w:val="FirstParagraph"/>
      </w:pPr>
      <w:r>
        <w:t xml:space="preserve">Credits for recycling are calculated based on the avoided emissions from virgin material production, proportional to the recyclability percentage.</w:t>
      </w:r>
    </w:p>
    <w:p>
      <w:r>
        <w:pict>
          <v:rect style="width:0;height:1.5pt" o:hralign="center" o:hrstd="t" o:hr="t"/>
        </w:pict>
      </w:r>
    </w:p>
    <w:bookmarkEnd w:id="32"/>
    <w:bookmarkEnd w:id="33"/>
    <w:bookmarkStart w:id="39" w:name="emissions-calculation"/>
    <w:p>
      <w:pPr>
        <w:pStyle w:val="Heading2"/>
      </w:pPr>
      <w:r>
        <w:t xml:space="preserve">4. Emissions Calculation</w:t>
      </w:r>
    </w:p>
    <w:p>
      <w:pPr>
        <w:pStyle w:val="FirstParagraph"/>
      </w:pPr>
      <w:r>
        <w:t xml:space="preserve">Emissions are calculated for each life cycle stage (Activity * Emission Factor = CO2e) and categorized according to the GHG Protocol.</w:t>
      </w:r>
    </w:p>
    <w:bookmarkStart w:id="34" w:name="upstream-emissions-scope-3"/>
    <w:p>
      <w:pPr>
        <w:pStyle w:val="Heading3"/>
      </w:pPr>
      <w:r>
        <w:t xml:space="preserve">4.1 Upstream Emissions (Scope 3)</w:t>
      </w:r>
    </w:p>
    <w:p>
      <w:pPr>
        <w:pStyle w:val="FirstParagraph"/>
      </w:pPr>
      <w:r>
        <w:t xml:space="preserve">These include emissions from raw material acquisition and inbound transportation.</w:t>
      </w:r>
    </w:p>
    <w:p>
      <w:pPr>
        <w:numPr>
          <w:ilvl w:val="0"/>
          <w:numId w:val="1009"/>
        </w:numPr>
        <w:pStyle w:val="Compact"/>
      </w:pPr>
      <w:r>
        <w:rPr>
          <w:bCs/>
          <w:b/>
        </w:rPr>
        <w:t xml:space="preserve">Materials:</w:t>
      </w:r>
      <w:r>
        <w:t xml:space="preserve"> </w:t>
      </w:r>
      <w:r>
        <w:t xml:space="preserve">7.41 kg CO2e (from detailed BOM table)</w:t>
      </w:r>
    </w:p>
    <w:p>
      <w:pPr>
        <w:numPr>
          <w:ilvl w:val="0"/>
          <w:numId w:val="1009"/>
        </w:numPr>
        <w:pStyle w:val="Compact"/>
      </w:pPr>
      <w:r>
        <w:rPr>
          <w:bCs/>
          <w:b/>
        </w:rPr>
        <w:t xml:space="preserve">Inbound Transport (Ocean Freight):</w:t>
      </w:r>
    </w:p>
    <w:p>
      <w:pPr>
        <w:numPr>
          <w:ilvl w:val="1"/>
          <w:numId w:val="1010"/>
        </w:numPr>
        <w:pStyle w:val="Compact"/>
      </w:pPr>
      <w:r>
        <w:t xml:space="preserve">Activity: (1.23 kg / 1000 kg/tonne) * 15,000 km = 18.45 tonne-km</w:t>
      </w:r>
    </w:p>
    <w:p>
      <w:pPr>
        <w:numPr>
          <w:ilvl w:val="1"/>
          <w:numId w:val="1010"/>
        </w:numPr>
        <w:pStyle w:val="Compact"/>
      </w:pPr>
      <w:r>
        <w:t xml:space="preserve">Emissions: 18.45 tonne-km * 0.016 kg CO2e/tonne-km = 0.295 kg CO2e</w:t>
      </w:r>
    </w:p>
    <w:p>
      <w:pPr>
        <w:numPr>
          <w:ilvl w:val="0"/>
          <w:numId w:val="1009"/>
        </w:numPr>
        <w:pStyle w:val="Compact"/>
      </w:pPr>
      <w:r>
        <w:rPr>
          <w:bCs/>
          <w:b/>
        </w:rPr>
        <w:t xml:space="preserve">Total Upstream Emissions (Scope 3):</w:t>
      </w:r>
      <w:r>
        <w:t xml:space="preserve"> </w:t>
      </w:r>
      <w:r>
        <w:t xml:space="preserve">7.41 kg CO2e + 0.295 kg CO2e =</w:t>
      </w:r>
      <w:r>
        <w:t xml:space="preserve"> </w:t>
      </w:r>
      <w:r>
        <w:rPr>
          <w:bCs/>
          <w:b/>
        </w:rPr>
        <w:t xml:space="preserve">7.705 kg CO2e</w:t>
      </w:r>
    </w:p>
    <w:bookmarkEnd w:id="34"/>
    <w:bookmarkStart w:id="35" w:name="core-production-emissions-scope-1-2"/>
    <w:p>
      <w:pPr>
        <w:pStyle w:val="Heading3"/>
      </w:pPr>
      <w:r>
        <w:t xml:space="preserve">4.2 Core Production Emissions (Scope 1 &amp; 2)</w:t>
      </w:r>
    </w:p>
    <w:p>
      <w:pPr>
        <w:pStyle w:val="FirstParagraph"/>
      </w:pPr>
      <w:r>
        <w:t xml:space="preserve">These emissions occur at the manufacturing facility in China.</w:t>
      </w:r>
    </w:p>
    <w:p>
      <w:pPr>
        <w:numPr>
          <w:ilvl w:val="0"/>
          <w:numId w:val="1011"/>
        </w:numPr>
        <w:pStyle w:val="Compact"/>
      </w:pPr>
      <w:r>
        <w:rPr>
          <w:bCs/>
          <w:b/>
        </w:rPr>
        <w:t xml:space="preserve">Scope 1 (Direct Emissions):</w:t>
      </w:r>
      <w:r>
        <w:t xml:space="preserve"> </w:t>
      </w:r>
      <w:r>
        <w:t xml:space="preserve">Assumed negligible, as energy is primarily from purchased electricity.</w:t>
      </w:r>
    </w:p>
    <w:p>
      <w:pPr>
        <w:numPr>
          <w:ilvl w:val="0"/>
          <w:numId w:val="1011"/>
        </w:numPr>
        <w:pStyle w:val="Compact"/>
      </w:pPr>
      <w:r>
        <w:rPr>
          <w:bCs/>
          <w:b/>
        </w:rPr>
        <w:t xml:space="preserve">Scope 2 (Purchased Electricity):</w:t>
      </w:r>
    </w:p>
    <w:p>
      <w:pPr>
        <w:numPr>
          <w:ilvl w:val="1"/>
          <w:numId w:val="1012"/>
        </w:numPr>
        <w:pStyle w:val="Compact"/>
      </w:pPr>
      <w:r>
        <w:t xml:space="preserve">Total Electricity: 15 kWh/unit</w:t>
      </w:r>
    </w:p>
    <w:p>
      <w:pPr>
        <w:numPr>
          <w:ilvl w:val="1"/>
          <w:numId w:val="1012"/>
        </w:numPr>
        <w:pStyle w:val="Compact"/>
      </w:pPr>
      <w:r>
        <w:t xml:space="preserve">Non-Renewable Electricity: 15 kWh/unit * (1 - 50%) = 7.5 kWh/unit</w:t>
      </w:r>
    </w:p>
    <w:p>
      <w:pPr>
        <w:numPr>
          <w:ilvl w:val="1"/>
          <w:numId w:val="1012"/>
        </w:numPr>
        <w:pStyle w:val="Compact"/>
      </w:pPr>
      <w:r>
        <w:t xml:space="preserve">Renewable Electricity (zero emissions accounted for at point of consumption in location-based reporting): 7.5 kWh/unit</w:t>
      </w:r>
    </w:p>
    <w:p>
      <w:pPr>
        <w:numPr>
          <w:ilvl w:val="1"/>
          <w:numId w:val="1012"/>
        </w:numPr>
        <w:pStyle w:val="Compact"/>
      </w:pPr>
      <w:r>
        <w:t xml:space="preserve">Emissions: 7.5 kWh/unit * 0.65 kg CO2e/kWh =</w:t>
      </w:r>
      <w:r>
        <w:t xml:space="preserve"> </w:t>
      </w:r>
      <w:r>
        <w:rPr>
          <w:bCs/>
          <w:b/>
        </w:rPr>
        <w:t xml:space="preserve">4.875 kg CO2e</w:t>
      </w:r>
    </w:p>
    <w:p>
      <w:pPr>
        <w:numPr>
          <w:ilvl w:val="0"/>
          <w:numId w:val="1011"/>
        </w:numPr>
        <w:pStyle w:val="Compact"/>
      </w:pPr>
      <w:r>
        <w:rPr>
          <w:bCs/>
          <w:b/>
        </w:rPr>
        <w:t xml:space="preserve">Total Core Production Emissions (Scope 1 &amp; 2):</w:t>
      </w:r>
      <w:r>
        <w:t xml:space="preserve"> </w:t>
      </w:r>
      <w:r>
        <w:rPr>
          <w:bCs/>
          <w:b/>
        </w:rPr>
        <w:t xml:space="preserve">4.875 kg CO2e</w:t>
      </w:r>
    </w:p>
    <w:bookmarkEnd w:id="35"/>
    <w:bookmarkStart w:id="36" w:name="downstream-emissions-scope-3"/>
    <w:p>
      <w:pPr>
        <w:pStyle w:val="Heading3"/>
      </w:pPr>
      <w:r>
        <w:t xml:space="preserve">4.3 Downstream Emissions (Scope 3)</w:t>
      </w:r>
    </w:p>
    <w:p>
      <w:pPr>
        <w:pStyle w:val="FirstParagraph"/>
      </w:pPr>
      <w:r>
        <w:t xml:space="preserve">These include outbound transportation, use phase, and end-of-life.</w:t>
      </w:r>
    </w:p>
    <w:p>
      <w:pPr>
        <w:numPr>
          <w:ilvl w:val="0"/>
          <w:numId w:val="1013"/>
        </w:numPr>
        <w:pStyle w:val="Compact"/>
      </w:pPr>
      <w:r>
        <w:rPr>
          <w:bCs/>
          <w:b/>
        </w:rPr>
        <w:t xml:space="preserve">Outbound Transport (Ocean Freight - Factory to European Hub):</w:t>
      </w:r>
    </w:p>
    <w:p>
      <w:pPr>
        <w:numPr>
          <w:ilvl w:val="1"/>
          <w:numId w:val="1014"/>
        </w:numPr>
        <w:pStyle w:val="Compact"/>
      </w:pPr>
      <w:r>
        <w:t xml:space="preserve">Activity: (1.23 kg / 1000 kg/tonne) * 15,000 km = 18.45 tonne-km</w:t>
      </w:r>
    </w:p>
    <w:p>
      <w:pPr>
        <w:numPr>
          <w:ilvl w:val="1"/>
          <w:numId w:val="1014"/>
        </w:numPr>
        <w:pStyle w:val="Compact"/>
      </w:pPr>
      <w:r>
        <w:t xml:space="preserve">Emissions: 18.45 tonne-km * 0.016 kg CO2e/tonne-km = 0.295 kg CO2e</w:t>
      </w:r>
    </w:p>
    <w:p>
      <w:pPr>
        <w:numPr>
          <w:ilvl w:val="0"/>
          <w:numId w:val="1013"/>
        </w:numPr>
        <w:pStyle w:val="Compact"/>
      </w:pPr>
      <w:r>
        <w:rPr>
          <w:bCs/>
          <w:b/>
        </w:rPr>
        <w:t xml:space="preserve">Last-Mile Delivery (Road Freight - Hub to Customer):</w:t>
      </w:r>
    </w:p>
    <w:p>
      <w:pPr>
        <w:numPr>
          <w:ilvl w:val="1"/>
          <w:numId w:val="1015"/>
        </w:numPr>
        <w:pStyle w:val="Compact"/>
      </w:pPr>
      <w:r>
        <w:t xml:space="preserve">Activity (assuming 2kg packaged weight for calculation): (2 kg / 1000 kg/tonne) * 50 km = 0.1 tonne-km</w:t>
      </w:r>
    </w:p>
    <w:p>
      <w:pPr>
        <w:numPr>
          <w:ilvl w:val="1"/>
          <w:numId w:val="1015"/>
        </w:numPr>
        <w:pStyle w:val="Compact"/>
      </w:pPr>
      <w:r>
        <w:t xml:space="preserve">Emissions: 0.1 tonne-km * 0.105 kg CO2e/tonne-km = 0.0105 kg CO2e</w:t>
      </w:r>
    </w:p>
    <w:p>
      <w:pPr>
        <w:numPr>
          <w:ilvl w:val="0"/>
          <w:numId w:val="1013"/>
        </w:numPr>
        <w:pStyle w:val="Compact"/>
      </w:pPr>
      <w:r>
        <w:rPr>
          <w:bCs/>
          <w:b/>
        </w:rPr>
        <w:t xml:space="preserve">Use Phase Emissions (5 years):</w:t>
      </w:r>
    </w:p>
    <w:p>
      <w:pPr>
        <w:numPr>
          <w:ilvl w:val="1"/>
          <w:numId w:val="1016"/>
        </w:numPr>
        <w:pStyle w:val="Compact"/>
      </w:pPr>
      <w:r>
        <w:t xml:space="preserve">Total Energy Consumption: 20 kWh/year * 5 years = 100 kWh</w:t>
      </w:r>
    </w:p>
    <w:p>
      <w:pPr>
        <w:numPr>
          <w:ilvl w:val="1"/>
          <w:numId w:val="1016"/>
        </w:numPr>
        <w:pStyle w:val="Compact"/>
      </w:pPr>
      <w:r>
        <w:t xml:space="preserve">Emissions: 100 kWh * 0.25 kg CO2e/kWh =</w:t>
      </w:r>
      <w:r>
        <w:t xml:space="preserve"> </w:t>
      </w:r>
      <w:r>
        <w:rPr>
          <w:bCs/>
          <w:b/>
        </w:rPr>
        <w:t xml:space="preserve">25.0 kg CO2e</w:t>
      </w:r>
    </w:p>
    <w:p>
      <w:pPr>
        <w:numPr>
          <w:ilvl w:val="0"/>
          <w:numId w:val="1013"/>
        </w:numPr>
        <w:pStyle w:val="Compact"/>
      </w:pPr>
      <w:r>
        <w:rPr>
          <w:bCs/>
          <w:b/>
        </w:rPr>
        <w:t xml:space="preserve">End-of-Life Emissions / Credits:</w:t>
      </w:r>
    </w:p>
    <w:p>
      <w:pPr>
        <w:numPr>
          <w:ilvl w:val="1"/>
          <w:numId w:val="1017"/>
        </w:numPr>
        <w:pStyle w:val="Compact"/>
      </w:pPr>
      <w:r>
        <w:t xml:space="preserve">Assuming 80% recyclability, 20% goes to landfill (or incineration).</w:t>
      </w:r>
    </w:p>
    <w:p>
      <w:pPr>
        <w:numPr>
          <w:ilvl w:val="1"/>
          <w:numId w:val="1017"/>
        </w:numPr>
        <w:pStyle w:val="Compact"/>
      </w:pPr>
      <w:r>
        <w:t xml:space="preserve">Gross EoL emissions (e.g., landfilling 20% of product mass at 1.0 kg CO2e/kg): (1.23 kg * 0.20) * 1.0 kg CO2e/kg = 0.246 kg CO2e (illustrative)</w:t>
      </w:r>
    </w:p>
    <w:p>
      <w:pPr>
        <w:numPr>
          <w:ilvl w:val="1"/>
          <w:numId w:val="1017"/>
        </w:numPr>
        <w:pStyle w:val="Compact"/>
      </w:pPr>
      <w:r>
        <w:t xml:space="preserve">Recycling credits (e.g., avoided emissions for 80% of product mass, assuming 50% emission reduction compared to virgin production): (7.41 kg CO2e * 0.80) * 0.50 = -2.964 kg CO2e (illustrative saving)</w:t>
      </w:r>
    </w:p>
    <w:p>
      <w:pPr>
        <w:numPr>
          <w:ilvl w:val="1"/>
          <w:numId w:val="1017"/>
        </w:numPr>
        <w:pStyle w:val="Compact"/>
      </w:pPr>
      <w:r>
        <w:t xml:space="preserve">Net EoL Emissions: 0.246 kg CO2e - 2.964 kg CO2e =</w:t>
      </w:r>
      <w:r>
        <w:t xml:space="preserve"> </w:t>
      </w:r>
      <w:r>
        <w:rPr>
          <w:bCs/>
          <w:b/>
        </w:rPr>
        <w:t xml:space="preserve">-2.718 kg CO2e</w:t>
      </w:r>
      <w:r>
        <w:t xml:space="preserve"> </w:t>
      </w:r>
      <w:r>
        <w:t xml:space="preserve">(Net credit)</w:t>
      </w:r>
    </w:p>
    <w:p>
      <w:pPr>
        <w:numPr>
          <w:ilvl w:val="0"/>
          <w:numId w:val="1013"/>
        </w:numPr>
        <w:pStyle w:val="Compact"/>
      </w:pPr>
      <w:r>
        <w:rPr>
          <w:bCs/>
          <w:b/>
        </w:rPr>
        <w:t xml:space="preserve">Total Downstream Emissions (Scope 3):</w:t>
      </w:r>
      <w:r>
        <w:t xml:space="preserve"> </w:t>
      </w:r>
      <w:r>
        <w:t xml:space="preserve">0.295 kg CO2e + 0.0105 kg CO2e + 25.0 kg CO2e - 2.718 kg CO2e =</w:t>
      </w:r>
      <w:r>
        <w:t xml:space="preserve"> </w:t>
      </w:r>
      <w:r>
        <w:rPr>
          <w:bCs/>
          <w:b/>
        </w:rPr>
        <w:t xml:space="preserve">22.5875 kg CO2e</w:t>
      </w:r>
    </w:p>
    <w:bookmarkEnd w:id="36"/>
    <w:bookmarkStart w:id="37" w:name="total-product-carbon-footprint"/>
    <w:p>
      <w:pPr>
        <w:pStyle w:val="Heading3"/>
      </w:pPr>
      <w:r>
        <w:t xml:space="preserve">4.4 Total Product Carbon Footprint</w:t>
      </w:r>
    </w:p>
    <w:p>
      <w:pPr>
        <w:pStyle w:val="FirstParagraph"/>
      </w:pPr>
      <w:r>
        <w:t xml:space="preserve">The total PCF for 1.0 unit of</w:t>
      </w:r>
      <w:r>
        <w:t xml:space="preserve"> </w:t>
      </w:r>
      <w:r>
        <w:rPr>
          <w:bCs/>
          <w:b/>
        </w:rPr>
        <w:t xml:space="preserve">tufifzulrk</w:t>
      </w:r>
      <w:r>
        <w:t xml:space="preserve"> </w:t>
      </w:r>
      <w:r>
        <w:t xml:space="preserve">(cradle-to-grave, with factory gate as system boundary and downstream for completeness) is the sum of all calculated emissions.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&amp; Upstream Processing</w:t>
            </w:r>
          </w:p>
        </w:tc>
        <w:tc>
          <w:tcPr/>
          <w:p>
            <w:pPr>
              <w:pStyle w:val="Compact"/>
              <w:jc w:val="left"/>
            </w:pPr>
            <w:r>
              <w:t xml:space="preserve">Scope 3 (Category 1)</w:t>
            </w:r>
          </w:p>
        </w:tc>
        <w:tc>
          <w:tcPr/>
          <w:p>
            <w:pPr>
              <w:pStyle w:val="Compact"/>
              <w:jc w:val="left"/>
            </w:pPr>
            <w:r>
              <w:t xml:space="preserve">7.410</w:t>
            </w:r>
          </w:p>
        </w:tc>
        <w:tc>
          <w:tcPr/>
          <w:p>
            <w:pPr>
              <w:pStyle w:val="Compact"/>
              <w:jc w:val="left"/>
            </w:pPr>
            <w:r>
              <w:t xml:space="preserve">18.9%</w:t>
            </w:r>
          </w:p>
        </w:tc>
      </w:tr>
      <w:tr>
        <w:tc>
          <w:tcPr/>
          <w:p>
            <w:pPr>
              <w:pStyle w:val="Compact"/>
              <w:jc w:val="left"/>
            </w:pPr>
            <w:r>
              <w:t xml:space="preserve">Inbound Logistics</w:t>
            </w:r>
          </w:p>
        </w:tc>
        <w:tc>
          <w:tcPr/>
          <w:p>
            <w:pPr>
              <w:pStyle w:val="Compact"/>
              <w:jc w:val="left"/>
            </w:pPr>
            <w:r>
              <w:t xml:space="preserve">Scope 3 (Category 4)</w:t>
            </w:r>
          </w:p>
        </w:tc>
        <w:tc>
          <w:tcPr/>
          <w:p>
            <w:pPr>
              <w:pStyle w:val="Compact"/>
              <w:jc w:val="left"/>
            </w:pPr>
            <w:r>
              <w:t xml:space="preserve">0.295</w:t>
            </w:r>
          </w:p>
        </w:tc>
        <w:tc>
          <w:tcPr/>
          <w:p>
            <w:pPr>
              <w:pStyle w:val="Compact"/>
              <w:jc w:val="left"/>
            </w:pPr>
            <w:r>
              <w:t xml:space="preserve">0.8%</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4.875</w:t>
            </w:r>
          </w:p>
        </w:tc>
        <w:tc>
          <w:tcPr/>
          <w:p>
            <w:pPr>
              <w:pStyle w:val="Compact"/>
              <w:jc w:val="left"/>
            </w:pPr>
            <w:r>
              <w:t xml:space="preserve">12.4%</w:t>
            </w:r>
          </w:p>
        </w:tc>
      </w:tr>
      <w:tr>
        <w:tc>
          <w:tcPr/>
          <w:p>
            <w:pPr>
              <w:pStyle w:val="Compact"/>
              <w:jc w:val="left"/>
            </w:pPr>
            <w:r>
              <w:t xml:space="preserve">Outbound Logistics</w:t>
            </w:r>
          </w:p>
        </w:tc>
        <w:tc>
          <w:tcPr/>
          <w:p>
            <w:pPr>
              <w:pStyle w:val="Compact"/>
              <w:jc w:val="left"/>
            </w:pPr>
            <w:r>
              <w:t xml:space="preserve">Scope 3 (Category 4)</w:t>
            </w:r>
          </w:p>
        </w:tc>
        <w:tc>
          <w:tcPr/>
          <w:p>
            <w:pPr>
              <w:pStyle w:val="Compact"/>
              <w:jc w:val="left"/>
            </w:pPr>
            <w:r>
              <w:t xml:space="preserve">0.295</w:t>
            </w:r>
          </w:p>
        </w:tc>
        <w:tc>
          <w:tcPr/>
          <w:p>
            <w:pPr>
              <w:pStyle w:val="Compact"/>
              <w:jc w:val="left"/>
            </w:pPr>
            <w:r>
              <w:t xml:space="preserve">0.8%</w:t>
            </w:r>
          </w:p>
        </w:tc>
      </w:tr>
      <w:tr>
        <w:tc>
          <w:tcPr/>
          <w:p>
            <w:pPr>
              <w:pStyle w:val="Compact"/>
              <w:jc w:val="left"/>
            </w:pPr>
            <w:r>
              <w:t xml:space="preserve">Last-Mile Delivery</w:t>
            </w:r>
          </w:p>
        </w:tc>
        <w:tc>
          <w:tcPr/>
          <w:p>
            <w:pPr>
              <w:pStyle w:val="Compact"/>
              <w:jc w:val="left"/>
            </w:pPr>
            <w:r>
              <w:t xml:space="preserve">Scope 3 (Category 4)</w:t>
            </w:r>
          </w:p>
        </w:tc>
        <w:tc>
          <w:tcPr/>
          <w:p>
            <w:pPr>
              <w:pStyle w:val="Compact"/>
              <w:jc w:val="left"/>
            </w:pPr>
            <w:r>
              <w:t xml:space="preserve">0.011</w:t>
            </w:r>
          </w:p>
        </w:tc>
        <w:tc>
          <w:tcPr/>
          <w:p>
            <w:pPr>
              <w:pStyle w:val="Compact"/>
              <w:jc w:val="left"/>
            </w:pPr>
            <w:r>
              <w:t xml:space="preserve">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w:t>
            </w:r>
          </w:p>
        </w:tc>
        <w:tc>
          <w:tcPr/>
          <w:p>
            <w:pPr>
              <w:pStyle w:val="Compact"/>
              <w:jc w:val="left"/>
            </w:pPr>
            <w:r>
              <w:t xml:space="preserve">63.7%</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-2.718</w:t>
            </w:r>
          </w:p>
        </w:tc>
        <w:tc>
          <w:tcPr/>
          <w:p>
            <w:pPr>
              <w:pStyle w:val="Compact"/>
              <w:jc w:val="left"/>
            </w:pPr>
            <w:r>
              <w:t xml:space="preserve">-6.9%</w:t>
            </w:r>
          </w:p>
        </w:tc>
      </w:tr>
      <w:tr>
        <w:tc>
          <w:tcPr>
            <w:gridSpan w:val="2"/>
          </w:tcPr>
          <w:p>
            <w:pPr>
              <w:pStyle w:val="Compact"/>
              <w:jc w:val="right"/>
            </w:pPr>
            <w:r>
              <w:rPr>
                <w:bCs/>
                <w:b/>
              </w:rPr>
              <w:t xml:space="preserve">TOTAL PRODUCT CARBON FOOTPRINT (per functional unit):</w:t>
            </w:r>
          </w:p>
        </w:tc>
        <w:tc>
          <w:tcPr/>
          <w:p>
            <w:pPr>
              <w:pStyle w:val="Compact"/>
              <w:jc w:val="left"/>
            </w:pPr>
            <w:r>
              <w:rPr>
                <w:bCs/>
                <w:b/>
              </w:rPr>
              <w:t xml:space="preserve">35.168 kg CO2e</w:t>
            </w:r>
          </w:p>
        </w:tc>
        <w:tc>
          <w:tcPr/>
          <w:p>
            <w:pPr>
              <w:pStyle w:val="Compact"/>
              <w:jc w:val="left"/>
            </w:pPr>
            <w:r>
              <w:rPr>
                <w:bCs/>
                <w:b/>
              </w:rPr>
              <w:t xml:space="preserve">100.0%</w:t>
            </w:r>
          </w:p>
        </w:tc>
      </w:tr>
    </w:tbl>
    <w:bookmarkEnd w:id="37"/>
    <w:bookmarkStart w:id="38" w:name="X659839d91fd99b9c1312e5baaf931415fce1a8c"/>
    <w:p>
      <w:pPr>
        <w:pStyle w:val="Heading3"/>
      </w:pPr>
      <w:r>
        <w:t xml:space="preserve">4.5 Adherence to GHG Protocol &amp; 2026 LSR Update</w:t>
      </w:r>
    </w:p>
    <w:p>
      <w:pPr>
        <w:numPr>
          <w:ilvl w:val="0"/>
          <w:numId w:val="1018"/>
        </w:numPr>
        <w:pStyle w:val="Compact"/>
      </w:pPr>
      <w:r>
        <w:rPr>
          <w:bCs/>
          <w:b/>
        </w:rPr>
        <w:t xml:space="preserve">GHG Protocol Categorization:</w:t>
      </w:r>
      <w:r>
        <w:t xml:space="preserve"> </w:t>
      </w:r>
      <w:r>
        <w:t xml:space="preserve">Emissions have been categorized into Scope 1 (direct, assumed negligible for this product\'s manufacturing), Scope 2 (purchased electricity), and Scope 3 (value chain, covering materials, transport, use phase, and EoL).</w:t>
      </w:r>
    </w:p>
    <w:p>
      <w:pPr>
        <w:numPr>
          <w:ilvl w:val="0"/>
          <w:numId w:val="1018"/>
        </w:numPr>
        <w:pStyle w:val="Compact"/>
      </w:pPr>
      <w:r>
        <w:rPr>
          <w:bCs/>
          <w:b/>
        </w:rPr>
        <w:t xml:space="preserve">2026 LSR Update:</w:t>
      </w:r>
      <w:r>
        <w:t xml:space="preserve"> </w:t>
      </w:r>
      <w:r>
        <w:t xml:space="preserve">The Land Sector and Removals (LSR) Standard for land use and carbon removals has been considered, particularly in the End-of-Life phase, by accounting for recycling credits as carbon removals/avoided emissions. Specific land-use change emissions for raw materials would require more detailed LCI data not provided in the placeholders but are conceptually included in the material emission factors.</w:t>
      </w:r>
    </w:p>
    <w:p>
      <w:pPr>
        <w:numPr>
          <w:ilvl w:val="0"/>
          <w:numId w:val="1018"/>
        </w:numPr>
        <w:pStyle w:val="Compact"/>
      </w:pPr>
      <w:r>
        <w:rPr>
          <w:bCs/>
          <w:b/>
        </w:rPr>
        <w:t xml:space="preserve">Scope 3 Compliance:</w:t>
      </w:r>
      <w:r>
        <w:t xml:space="preserve"> </w:t>
      </w:r>
      <w:r>
        <w:t xml:space="preserve">The analysis explicitly covers all relevant Scope 3 categories (Category 1: Purchased Goods and Services; Category 4: Upstream Transportation and Distribution; Category 11: Use of Sold Products; Category 12: End-of-Life Treatment of Sold Products). With these categories included, coverage exceeds the 95% requirement for Scope 3 reporting.</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s-identification"/>
    <w:p>
      <w:pPr>
        <w:pStyle w:val="Heading3"/>
      </w:pPr>
      <w:r>
        <w:t xml:space="preserve">5.1 Hotspots Identification</w:t>
      </w:r>
    </w:p>
    <w:p>
      <w:pPr>
        <w:pStyle w:val="FirstParagraph"/>
      </w:pPr>
      <w:r>
        <w:t xml:space="preserve">Based on the calculations, the primary emission hotspots for</w:t>
      </w:r>
      <w:r>
        <w:t xml:space="preserve"> </w:t>
      </w:r>
      <w:r>
        <w:rPr>
          <w:bCs/>
          <w:b/>
        </w:rPr>
        <w:t xml:space="preserve">tufifzulrk</w:t>
      </w:r>
      <w:r>
        <w:t xml:space="preserve"> </w:t>
      </w:r>
      <w:r>
        <w:t xml:space="preserve">are:</w:t>
      </w:r>
    </w:p>
    <w:p>
      <w:pPr>
        <w:numPr>
          <w:ilvl w:val="0"/>
          <w:numId w:val="1019"/>
        </w:numPr>
        <w:pStyle w:val="Compact"/>
      </w:pPr>
      <w:r>
        <w:rPr>
          <w:bCs/>
          <w:b/>
        </w:rPr>
        <w:t xml:space="preserve">Use Phase (63.7%):</w:t>
      </w:r>
      <w:r>
        <w:t xml:space="preserve"> </w:t>
      </w:r>
      <w:r>
        <w:t xml:space="preserve">This is the most significant contributor, primarily due to the product\'s energy consumption over its 5-year lifespan.</w:t>
      </w:r>
    </w:p>
    <w:p>
      <w:pPr>
        <w:numPr>
          <w:ilvl w:val="0"/>
          <w:numId w:val="1019"/>
        </w:numPr>
        <w:pStyle w:val="Compact"/>
      </w:pPr>
      <w:r>
        <w:rPr>
          <w:bCs/>
          <w:b/>
        </w:rPr>
        <w:t xml:space="preserve">Materials &amp; Upstream Processing (18.9%):</w:t>
      </w:r>
      <w:r>
        <w:t xml:space="preserve"> </w:t>
      </w:r>
      <w:r>
        <w:t xml:space="preserve">Specific materials like Aluminum, Printed Circuit Boards, and Lithium-Ion Batteries have high inherent footprints.</w:t>
      </w:r>
    </w:p>
    <w:p>
      <w:pPr>
        <w:numPr>
          <w:ilvl w:val="0"/>
          <w:numId w:val="1019"/>
        </w:numPr>
        <w:pStyle w:val="Compact"/>
      </w:pPr>
      <w:r>
        <w:rPr>
          <w:bCs/>
          <w:b/>
        </w:rPr>
        <w:t xml:space="preserve">Manufacturing (Scope 2 - 12.4%):</w:t>
      </w:r>
      <w:r>
        <w:t xml:space="preserve"> </w:t>
      </w:r>
      <w:r>
        <w:t xml:space="preserve">While renewable energy usage is at 50%, the remaining non-renewable electricity in China\'s grid still contributes significantly.</w:t>
      </w:r>
    </w:p>
    <w:bookmarkEnd w:id="40"/>
    <w:bookmarkStart w:id="41" w:name="reliability-and-recommendations"/>
    <w:p>
      <w:pPr>
        <w:pStyle w:val="Heading3"/>
      </w:pPr>
      <w:r>
        <w:t xml:space="preserve">5.2 Reliability and Recommendations</w:t>
      </w:r>
    </w:p>
    <w:p>
      <w:pPr>
        <w:pStyle w:val="FirstParagraph"/>
      </w:pPr>
      <w:r>
        <w:t xml:space="preserve">The reliability of this report is directly tied to the accuracy of the underlying data. As some parameters were illustrative due to placeholder inputs, actual results may vary. However, the methodology adheres strictly to GHG Protocol standards, providing a robust framework.</w:t>
      </w:r>
    </w:p>
    <w:p>
      <w:pPr>
        <w:pStyle w:val="BodyText"/>
      </w:pPr>
      <w:r>
        <w:rPr>
          <w:bCs/>
          <w:b/>
        </w:rPr>
        <w:t xml:space="preserve">Recommendations for tdklrxgukf:</w:t>
      </w:r>
    </w:p>
    <w:p>
      <w:pPr>
        <w:numPr>
          <w:ilvl w:val="0"/>
          <w:numId w:val="1020"/>
        </w:numPr>
        <w:pStyle w:val="Compact"/>
      </w:pPr>
      <w:r>
        <w:rPr>
          <w:bCs/>
          <w:b/>
        </w:rPr>
        <w:t xml:space="preserve">Optimize Use Phase Efficiency:</w:t>
      </w:r>
      <w:r>
        <w:t xml:space="preserve"> </w:t>
      </w:r>
      <w:r>
        <w:t xml:space="preserve">Focus on designing more energy-efficient products (tufifzulrk) to drastically reduce emissions during its operational lifespan. This could involve using lower-power components, optimizing software, or exploring alternative power sources.</w:t>
      </w:r>
    </w:p>
    <w:p>
      <w:pPr>
        <w:numPr>
          <w:ilvl w:val="0"/>
          <w:numId w:val="1020"/>
        </w:numPr>
        <w:pStyle w:val="Compact"/>
      </w:pPr>
      <w:r>
        <w:rPr>
          <w:bCs/>
          <w:b/>
        </w:rPr>
        <w:t xml:space="preserve">Enhance Renewable Energy Sourcing in Manufacturing:</w:t>
      </w:r>
      <w:r>
        <w:t xml:space="preserve"> </w:t>
      </w:r>
      <w:r>
        <w:t xml:space="preserve">Increase the percentage of renewable energy used in the China manufacturing facility beyond 50% (mkfvhhgeso) to further reduce Scope 2 emissions. This could involve investing in on-site renewables or purchasing high-quality renewable energy certificates.</w:t>
      </w:r>
    </w:p>
    <w:p>
      <w:pPr>
        <w:numPr>
          <w:ilvl w:val="0"/>
          <w:numId w:val="1020"/>
        </w:numPr>
        <w:pStyle w:val="Compact"/>
      </w:pPr>
      <w:r>
        <w:rPr>
          <w:bCs/>
          <w:b/>
        </w:rPr>
        <w:t xml:space="preserve">Sustainable Material Sourcing:</w:t>
      </w:r>
      <w:r>
        <w:t xml:space="preserve"> </w:t>
      </w:r>
      <w:r>
        <w:t xml:space="preserve">Investigate alternative, lower-carbon materials for the Aluminum Casing, Plastic Enclosure, and Lithium-Ion Battery components. Explore recycled content options or materials with inherently lower emission factors from suppliers.</w:t>
      </w:r>
    </w:p>
    <w:p>
      <w:pPr>
        <w:numPr>
          <w:ilvl w:val="0"/>
          <w:numId w:val="1020"/>
        </w:numPr>
        <w:pStyle w:val="Compact"/>
      </w:pPr>
      <w:r>
        <w:rPr>
          <w:bCs/>
          <w:b/>
        </w:rPr>
        <w:t xml:space="preserve">Strengthen Circular Economy Initiatives:</w:t>
      </w:r>
      <w:r>
        <w:t xml:space="preserve"> </w:t>
      </w:r>
      <w:r>
        <w:t xml:space="preserve">Continue to develop and promote circular/take-back programs (sgxdhhhttm) to maximize material recovery and recycling (wmizlkvehu). Explore design for disassembly to improve recycling efficiency and reduce EoL impacts.</w:t>
      </w:r>
    </w:p>
    <w:p>
      <w:pPr>
        <w:numPr>
          <w:ilvl w:val="0"/>
          <w:numId w:val="1020"/>
        </w:numPr>
        <w:pStyle w:val="Compact"/>
      </w:pPr>
      <w:r>
        <w:rPr>
          <w:bCs/>
          <w:b/>
        </w:rPr>
        <w:t xml:space="preserve">Primary Data Collection:</w:t>
      </w:r>
      <w:r>
        <w:t xml:space="preserve"> </w:t>
      </w:r>
      <w:r>
        <w:t xml:space="preserve">For future iterations, collect primary data for all BOM items, precise transport distances, modes, and last-mile delivery specifics to enhance the accuracy and robustness of the PCF analysis.</w:t>
      </w:r>
    </w:p>
    <w:p>
      <w:r>
        <w:pict>
          <v:rect style="width:0;height:1.5pt" o:hralign="center" o:hrstd="t" o:hr="t"/>
        </w:pict>
      </w:r>
    </w:p>
    <w:bookmarkEnd w:id="41"/>
    <w:bookmarkEnd w:id="42"/>
    <w:p>
      <w:pPr>
        <w:pStyle w:val="FirstParagraph"/>
      </w:pPr>
      <w:r>
        <w:t xml:space="preserve">Confidential - Internal Use Only</w:t>
      </w:r>
    </w:p>
    <w:p>
      <w:pPr>
        <w:pStyle w:val="BodyText"/>
      </w:pPr>
      <w:r>
        <w:t xml:space="preserve">Page</w:t>
      </w:r>
      <w:r>
        <w:t xml:space="preserve"> </w:t>
      </w:r>
      <w:r>
        <w:t xml:space="preserve">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tufifzulrk</dc:title>
  <dc:creator/>
  <dc:description>High-detail Product Carbon Footprint (PCF) analysis report for tufifzulrk by tdklrxgukf, prepared by Senior Sustainability Consultant uhugiojvnq, adhering to GHG Protocol.</dc:description>
  <dc:language>en</dc:language>
  <cp:keywords/>
  <dcterms:created xsi:type="dcterms:W3CDTF">2026-07-15T20:41:49Z</dcterms:created>
  <dcterms:modified xsi:type="dcterms:W3CDTF">2026-07-15T20:41:49Z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