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ttxylteyhn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ttxylteyhn</w:t>
      </w:r>
    </w:p>
    <w:p>
      <w:pPr>
        <w:pStyle w:val="BodyText"/>
      </w:pPr>
      <w:r>
        <w:t xml:space="preserve">Company:</w:t>
      </w:r>
      <w:r>
        <w:t xml:space="preserve"> </w:t>
      </w:r>
      <w:r>
        <w:rPr>
          <w:bCs/>
          <w:b/>
        </w:rPr>
        <w:t xml:space="preserve">mtooorxyhd</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pxuyrxdlpn</w:t>
      </w:r>
    </w:p>
    <w:p>
      <w:pPr>
        <w:pStyle w:val="BodyText"/>
      </w:pPr>
      <w:r>
        <w:t xml:space="preserve">This report is generated based on available data and industry standards. While every effort has been made to ensure accuracy, the calculations are indicative and should be complemented by detailed primary data collection and expert verification for formal reporting purposes.</w:t>
      </w:r>
    </w:p>
    <w:bookmarkEnd w:id="20"/>
    <w:bookmarkStart w:id="46" w:name="Xe75c8216150bfdf54be5e05e0fd62e19e642af8"/>
    <w:p>
      <w:pPr>
        <w:pStyle w:val="Heading1"/>
      </w:pPr>
      <w:r>
        <w:t xml:space="preserve">Product Carbon Footprint Report for ttxylteyhn</w:t>
      </w:r>
    </w:p>
    <w:bookmarkStart w:id="21" w:name="generated-date-may-20-2026"/>
    <w:p>
      <w:pPr>
        <w:pStyle w:val="Heading2"/>
      </w:pPr>
      <w:r>
        <w:t xml:space="preserve">Generated Date: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"ttxylteyhn," manufactured by "mtooorxyhd." The assessment adheres to the Greenhouse Gas (GHG) Protocol standards, including the 2026 Land Sector and Removals (LSR) update and aims for at least 95% Scope 3 coverage. The analysis covers the full lifecycle of the product, from raw material acquisition to end-of-life, providing insights into emission hotspots and opportunities for reduction. The functional unit for this analysis is 1.0 unit of ttxylteyhn. All emissions are expressed in carbon dioxide equivalents (CO2e).</w:t>
      </w:r>
    </w:p>
    <w:bookmarkEnd w:id="22"/>
    <w:bookmarkStart w:id="27" w:name="methodology-scope-definition"/>
    <w:p>
      <w:pPr>
        <w:pStyle w:val="Heading2"/>
      </w:pPr>
      <w:r>
        <w:t xml:space="preserve">2. Methodology &amp; Scope Definition</w:t>
      </w:r>
    </w:p>
    <w:p>
      <w:pPr>
        <w:pStyle w:val="FirstParagraph"/>
      </w:pPr>
      <w:r>
        <w:t xml:space="preserve">The Product Carbon Footprint (PCF) for ttxylteyhn is calculated using the "Activity Data × Emission Factor = Emissions (kgCO₂e)" formula, in alignment with GHG Protocol guidance. The methodology follows the structured approach of defining scope, mapping the lifecycle, collecting data, calculating emissions, and reviewing/reporting, ensuring a comprehensive assessment.</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ttxylteyhn</w:t>
      </w:r>
      <w:r>
        <w:t xml:space="preserve">. This unit serves as the reference basis for quantifying all associated environmental impacts throughout the product\'s lifecycle.</w:t>
      </w:r>
    </w:p>
    <w:bookmarkEnd w:id="23"/>
    <w:bookmarkStart w:id="24" w:name="system-boundary"/>
    <w:p>
      <w:pPr>
        <w:pStyle w:val="Heading3"/>
      </w:pPr>
      <w:r>
        <w:t xml:space="preserve">2.2. System Boundary</w:t>
      </w:r>
    </w:p>
    <w:p>
      <w:pPr>
        <w:pStyle w:val="FirstParagraph"/>
      </w:pPr>
      <w:r>
        <w:t xml:space="preserve">The defined system boundary for this analysis is "factory_gate" for primary operational emissions, but the overall report encompasses a "cradle-to-grave" approach to provide a holistic view of the product\'s environmental impact. This extended boundary includes:</w:t>
      </w:r>
    </w:p>
    <w:p>
      <w:pPr>
        <w:numPr>
          <w:ilvl w:val="0"/>
          <w:numId w:val="1001"/>
        </w:numPr>
        <w:pStyle w:val="Compact"/>
      </w:pPr>
      <w:r>
        <w:t xml:space="preserve">Raw material extraction and processing (Upstream).</w:t>
      </w:r>
    </w:p>
    <w:p>
      <w:pPr>
        <w:numPr>
          <w:ilvl w:val="0"/>
          <w:numId w:val="1001"/>
        </w:numPr>
        <w:pStyle w:val="Compact"/>
      </w:pPr>
      <w:r>
        <w:t xml:space="preserve">Manufacturing and production at the factory.</w:t>
      </w:r>
    </w:p>
    <w:p>
      <w:pPr>
        <w:numPr>
          <w:ilvl w:val="0"/>
          <w:numId w:val="1001"/>
        </w:numPr>
        <w:pStyle w:val="Compact"/>
      </w:pPr>
      <w:r>
        <w:t xml:space="preserve">Transportation of materials and finished product.</w:t>
      </w:r>
    </w:p>
    <w:p>
      <w:pPr>
        <w:numPr>
          <w:ilvl w:val="0"/>
          <w:numId w:val="1001"/>
        </w:numPr>
        <w:pStyle w:val="Compact"/>
      </w:pPr>
      <w:r>
        <w:t xml:space="preserve">Product use phase.</w:t>
      </w:r>
    </w:p>
    <w:p>
      <w:pPr>
        <w:numPr>
          <w:ilvl w:val="0"/>
          <w:numId w:val="1001"/>
        </w:numPr>
        <w:pStyle w:val="Compact"/>
      </w:pPr>
      <w:r>
        <w:t xml:space="preserve">End-of-Life (EoL) treatment, including recycling and disposal.</w:t>
      </w:r>
    </w:p>
    <w:p>
      <w:pPr>
        <w:pStyle w:val="FirstParagraph"/>
      </w:pPr>
      <w:r>
        <w:t xml:space="preserve">While "cradle-to-gate" typically covers emissions up to the point the product leaves the factory, the inclusion of use phase and end-of-life aligns with a "cradle-to-grave" perspective, which is crucial for consumer-facing claims and meeting evolving regulatory requirements.</w:t>
      </w:r>
    </w:p>
    <w:bookmarkEnd w:id="24"/>
    <w:bookmarkStart w:id="25"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dual focus implies that while manufacturing emissions are assessed based on Chinese energy mixes and industrial practices (e.g., Ecoinvent data for China), upstream supply chain emissions are considered with a European emphasis, utilizing relevant regional emission factors where applicable (e.g., DEFRA factors for European sites).</w:t>
      </w:r>
    </w:p>
    <w:bookmarkEnd w:id="25"/>
    <w:bookmarkStart w:id="26" w:name="accounting-standard"/>
    <w:p>
      <w:pPr>
        <w:pStyle w:val="Heading3"/>
      </w:pPr>
      <w:r>
        <w:t xml:space="preserve">2.4.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mtooorxyhd (e.g., on-site fuel combustion).</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mtooorxyhd.</w:t>
      </w:r>
    </w:p>
    <w:p>
      <w:pPr>
        <w:numPr>
          <w:ilvl w:val="0"/>
          <w:numId w:val="1003"/>
        </w:numPr>
        <w:pStyle w:val="Compact"/>
      </w:pPr>
      <w:r>
        <w:rPr>
          <w:bCs/>
          <w:b/>
        </w:rPr>
        <w:t xml:space="preserve">Scope 3:</w:t>
      </w:r>
      <w:r>
        <w:t xml:space="preserve"> </w:t>
      </w:r>
      <w:r>
        <w:t xml:space="preserve">All other indirect GHG emissions occurring from the value chain, both upstream and downstream, not owned or controlled by mtooorxyhd. This includes categories such as purchased goods and services, capital goods, upstream and downstream transportation and distribution, use of sold products, and end-of-life treatment of sold products.</w:t>
      </w:r>
    </w:p>
    <w:p>
      <w:pPr>
        <w:pStyle w:val="FirstParagraph"/>
      </w:pPr>
      <w:r>
        <w:rPr>
          <w:bCs/>
          <w:b/>
        </w:rPr>
        <w:t xml:space="preserve">2026 LSR Update:</w:t>
      </w:r>
      <w:r>
        <w:t xml:space="preserve"> </w:t>
      </w:r>
      <w:r>
        <w:t xml:space="preserve">The analysis conceptually applies the Land Sector and Removals (LSR) Standard, released on January 30, 2026, and effective January 1, 2027. This standard provides accounting requirements for land management, land use change, CO₂ removals with storage in land and geologic carbon pools, and emissions from biogenic products. While the accompanying guidance is expected in Q2 2026, the principles of tracking and reporting land emissions and removals are integrated into the scope where relevant.</w:t>
      </w:r>
    </w:p>
    <w:p>
      <w:pPr>
        <w:pStyle w:val="BodyText"/>
      </w:pPr>
      <w:r>
        <w:rPr>
          <w:bCs/>
          <w:b/>
        </w:rPr>
        <w:t xml:space="preserve">Scope 3 Compliance:</w:t>
      </w:r>
      <w:r>
        <w:t xml:space="preserve"> </w:t>
      </w:r>
      <w:r>
        <w:t xml:space="preserve">In line with 2026 regulatory requirements for increased transparency, efforts are made to ensure at least</w:t>
      </w:r>
      <w:r>
        <w:t xml:space="preserve"> </w:t>
      </w:r>
      <w:r>
        <w:rPr>
          <w:bCs/>
          <w:b/>
        </w:rPr>
        <w:t xml:space="preserve">95% coverage for Scope 3 reporting</w:t>
      </w:r>
      <w:r>
        <w:t xml:space="preserve">. This involves comprehensive data collection across all relevant upstream and downstream activities in the product\'s value chain.</w:t>
      </w:r>
    </w:p>
    <w:bookmarkEnd w:id="26"/>
    <w:bookmarkEnd w:id="27"/>
    <w:bookmarkStart w:id="28" w:name="lifecycle-mapping-lci-inventory-stages"/>
    <w:p>
      <w:pPr>
        <w:pStyle w:val="Heading2"/>
      </w:pPr>
      <w:r>
        <w:t xml:space="preserve">3. Lifecycle Mapping (LCI Inventory Stages)</w:t>
      </w:r>
    </w:p>
    <w:p>
      <w:pPr>
        <w:pStyle w:val="FirstParagraph"/>
      </w:pPr>
      <w:r>
        <w:t xml:space="preserve">The lifecycle of ttxylteyhn is mapped into distinct stages to systematically account for all greenhouse gas emissions. This mapping helps identify specific points of impact throughout the product\'s journey.</w:t>
      </w:r>
    </w:p>
    <w:p>
      <w:pPr>
        <w:numPr>
          <w:ilvl w:val="0"/>
          <w:numId w:val="1004"/>
        </w:numPr>
        <w:pStyle w:val="Compact"/>
      </w:pPr>
      <w:r>
        <w:rPr>
          <w:bCs/>
          <w:b/>
        </w:rPr>
        <w:t xml:space="preserve">Raw Material Acquisition &amp; Pre-processing:</w:t>
      </w:r>
      <w:r>
        <w:t xml:space="preserve"> </w:t>
      </w:r>
      <w:r>
        <w:t xml:space="preserve">This stage includes the extraction, cultivation, and initial processing of all raw materials required for ttxylteyhn, including energy and water inputs, and waste generation during these processes.</w:t>
      </w:r>
    </w:p>
    <w:p>
      <w:pPr>
        <w:numPr>
          <w:ilvl w:val="0"/>
          <w:numId w:val="1004"/>
        </w:numPr>
        <w:pStyle w:val="Compact"/>
      </w:pPr>
      <w:r>
        <w:rPr>
          <w:bCs/>
          <w:b/>
        </w:rPr>
        <w:t xml:space="preserve">Manufacturing:</w:t>
      </w:r>
      <w:r>
        <w:t xml:space="preserve"> </w:t>
      </w:r>
      <w:r>
        <w:t xml:space="preserve">Encompasses all processes within mtooorxyhd\'s factory in China, including material transformation, assembly, energy consumption for machinery, and on-site waste generation.</w:t>
      </w:r>
    </w:p>
    <w:p>
      <w:pPr>
        <w:numPr>
          <w:ilvl w:val="0"/>
          <w:numId w:val="1004"/>
        </w:numPr>
        <w:pStyle w:val="Compact"/>
      </w:pPr>
      <w:r>
        <w:rPr>
          <w:bCs/>
          <w:b/>
        </w:rPr>
        <w:t xml:space="preserve">Transportation (Upstream &amp; Downstream):</w:t>
      </w:r>
      <w:r>
        <w:t xml:space="preserve"> </w:t>
      </w:r>
      <w:r>
        <w:t xml:space="preserve">Includes logistics for bringing raw materials and components to the manufacturing facility (upstream) and distributing the finished product to the customer (downstream), as well as last-mile delivery.</w:t>
      </w:r>
    </w:p>
    <w:p>
      <w:pPr>
        <w:numPr>
          <w:ilvl w:val="0"/>
          <w:numId w:val="1004"/>
        </w:numPr>
        <w:pStyle w:val="Compact"/>
      </w:pPr>
      <w:r>
        <w:rPr>
          <w:bCs/>
          <w:b/>
        </w:rPr>
        <w:t xml:space="preserve">Use Phase:</w:t>
      </w:r>
      <w:r>
        <w:t xml:space="preserve"> </w:t>
      </w:r>
      <w:r>
        <w:t xml:space="preserve">Accounts for the emissions generated during the product\'s expected lifespan, primarily from energy consumption during its operation.</w:t>
      </w:r>
    </w:p>
    <w:p>
      <w:pPr>
        <w:numPr>
          <w:ilvl w:val="0"/>
          <w:numId w:val="1004"/>
        </w:numPr>
        <w:pStyle w:val="Compact"/>
      </w:pPr>
      <w:r>
        <w:rPr>
          <w:bCs/>
          <w:b/>
        </w:rPr>
        <w:t xml:space="preserve">End-of-Life (EoL):</w:t>
      </w:r>
      <w:r>
        <w:t xml:space="preserve"> </w:t>
      </w:r>
      <w:r>
        <w:t xml:space="preserve">Addresses the emissions and potential credits associated with the disposal, recycling, or recovery of the product at the end of its useful life, incorporating circular economy impacts.</w:t>
      </w:r>
    </w:p>
    <w:bookmarkEnd w:id="28"/>
    <w:bookmarkStart w:id="34" w:name="data-collection"/>
    <w:p>
      <w:pPr>
        <w:pStyle w:val="Heading2"/>
      </w:pPr>
      <w:r>
        <w:t xml:space="preserve">4. Data Collection</w:t>
      </w:r>
    </w:p>
    <w:p>
      <w:pPr>
        <w:pStyle w:val="FirstParagraph"/>
      </w:pPr>
      <w:r>
        <w:t xml:space="preserve">Accurate data collection is fundamental for a reliable PCF analysis. Both primary data (directly from mtooorxyhd and its suppliers) and secondary data (from established databases) are utilized.</w:t>
      </w:r>
    </w:p>
    <w:bookmarkStart w:id="29" w:name="detailed-bill-of-materials-bom"/>
    <w:p>
      <w:pPr>
        <w:pStyle w:val="Heading3"/>
      </w:pPr>
      <w:r>
        <w:t xml:space="preserve">4.1. Detailed Bill of Materials (BOM)</w:t>
      </w:r>
    </w:p>
    <w:p>
      <w:pPr>
        <w:pStyle w:val="FirstParagraph"/>
      </w:pPr>
      <w:r>
        <w:t xml:space="preserve">The following Detailed Bill of Materials (BOM) for ttxylteyhn is used to calculate the material-specific carbon impacts. The provided data includes specific Emission Factors and Total Carbon values, which are directly incorporated.</w:t>
      </w:r>
    </w:p>
    <w:p>
      <w:pPr>
        <w:pStyle w:val="BodyText"/>
      </w:pPr>
      <w:r>
        <w:rPr>
          <w:bCs/>
          <w:b/>
        </w:rPr>
        <w:t xml:space="preserve">BOM Data (wwminntm):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4.2</w:t>
            </w:r>
          </w:p>
        </w:tc>
        <w:tc>
          <w:tcPr/>
          <w:p>
            <w:pPr>
              <w:pStyle w:val="Compact"/>
              <w:jc w:val="left"/>
            </w:pPr>
            <w:r>
              <w:t xml:space="preserve">0.21</w:t>
            </w:r>
          </w:p>
        </w:tc>
      </w:tr>
    </w:tbl>
    <w:bookmarkEnd w:id="29"/>
    <w:bookmarkStart w:id="30" w:name="energy-consumption-data-production-phase"/>
    <w:p>
      <w:pPr>
        <w:pStyle w:val="Heading3"/>
      </w:pPr>
      <w:r>
        <w:t xml:space="preserve">4.2. Energy Consumption Data (Production Phase)</w:t>
      </w:r>
    </w:p>
    <w:p>
      <w:pPr>
        <w:numPr>
          <w:ilvl w:val="0"/>
          <w:numId w:val="1005"/>
        </w:numPr>
        <w:pStyle w:val="Compact"/>
      </w:pPr>
      <w:r>
        <w:rPr>
          <w:bCs/>
          <w:b/>
        </w:rPr>
        <w:t xml:space="preserve">Renewable Energy Usage:</w:t>
      </w:r>
      <w:r>
        <w:t xml:space="preserve"> </w:t>
      </w:r>
      <w:r>
        <w:t xml:space="preserve">zjllrpwnge (e.g., percentage of renewable energy used in manufacturing facilities)</w:t>
      </w:r>
    </w:p>
    <w:p>
      <w:pPr>
        <w:numPr>
          <w:ilvl w:val="0"/>
          <w:numId w:val="1005"/>
        </w:numPr>
        <w:pStyle w:val="Compact"/>
      </w:pPr>
      <w:r>
        <w:rPr>
          <w:bCs/>
          <w:b/>
        </w:rPr>
        <w:t xml:space="preserve">Energy Intensity (kWh/unit):</w:t>
      </w:r>
      <w:r>
        <w:t xml:space="preserve"> </w:t>
      </w:r>
      <w:r>
        <w:t xml:space="preserve">hlophlremr (e.g., total kilowatt-hours consumed per unit of ttxylteyhn produced)</w:t>
      </w:r>
    </w:p>
    <w:p>
      <w:pPr>
        <w:pStyle w:val="FirstParagraph"/>
      </w:pPr>
      <w:r>
        <w:t xml:space="preserve">For calculation purposes, we will assume typical regional grid mixes for China, adjusted by the specified renewable energy usage. Industry-standard emission factors for electricity generation (e.g., from Ecoinvent for China or DEFRA) are applied to the non-renewable portion of the energy mix.</w:t>
      </w:r>
    </w:p>
    <w:bookmarkEnd w:id="30"/>
    <w:bookmarkStart w:id="31" w:name="logistics-data-transport"/>
    <w:p>
      <w:pPr>
        <w:pStyle w:val="Heading3"/>
      </w:pPr>
      <w:r>
        <w:t xml:space="preserve">4.3. Logistics Data (Transport)</w:t>
      </w:r>
    </w:p>
    <w:p>
      <w:pPr>
        <w:numPr>
          <w:ilvl w:val="0"/>
          <w:numId w:val="1006"/>
        </w:numPr>
        <w:pStyle w:val="Compact"/>
      </w:pPr>
      <w:r>
        <w:rPr>
          <w:bCs/>
          <w:b/>
        </w:rPr>
        <w:t xml:space="preserve">Transport Mode:</w:t>
      </w:r>
      <w:r>
        <w:t xml:space="preserve"> </w:t>
      </w:r>
      <w:r>
        <w:t xml:space="preserve">Select Mode (e.g., Road freight, Sea freight, Air freight)</w:t>
      </w:r>
    </w:p>
    <w:p>
      <w:pPr>
        <w:numPr>
          <w:ilvl w:val="0"/>
          <w:numId w:val="1006"/>
        </w:numPr>
        <w:pStyle w:val="Compact"/>
      </w:pPr>
      <w:r>
        <w:rPr>
          <w:bCs/>
          <w:b/>
        </w:rPr>
        <w:t xml:space="preserve">Transport Distance:</w:t>
      </w:r>
      <w:r>
        <w:t xml:space="preserve"> </w:t>
      </w:r>
      <w:r>
        <w:t xml:space="preserve">sqtiyjodxn (e.g., in km)</w:t>
      </w:r>
    </w:p>
    <w:p>
      <w:pPr>
        <w:numPr>
          <w:ilvl w:val="0"/>
          <w:numId w:val="1006"/>
        </w:numPr>
        <w:pStyle w:val="Compact"/>
      </w:pPr>
      <w:r>
        <w:rPr>
          <w:bCs/>
          <w:b/>
        </w:rPr>
        <w:t xml:space="preserve">Last-Mile Delivery Channel:</w:t>
      </w:r>
      <w:r>
        <w:t xml:space="preserve"> </w:t>
      </w:r>
      <w:r>
        <w:t xml:space="preserve">Delivery Type (e.g., Parcel service, Company fleet)</w:t>
      </w:r>
    </w:p>
    <w:p>
      <w:pPr>
        <w:pStyle w:val="FirstParagraph"/>
      </w:pPr>
      <w:r>
        <w:t xml:space="preserve">Emission factors for transportation are applied based on the chosen mode, distance, and fuel type. For a "Europe Focused" supply chain, DEFRA or Ecoinvent data for various transport modes would be used.</w:t>
      </w:r>
    </w:p>
    <w:bookmarkEnd w:id="31"/>
    <w:bookmarkStart w:id="32" w:name="use-phase-data"/>
    <w:p>
      <w:pPr>
        <w:pStyle w:val="Heading3"/>
      </w:pPr>
      <w:r>
        <w:t xml:space="preserve">4.4. Use Phase Data</w:t>
      </w:r>
    </w:p>
    <w:p>
      <w:pPr>
        <w:numPr>
          <w:ilvl w:val="0"/>
          <w:numId w:val="1007"/>
        </w:numPr>
        <w:pStyle w:val="Compact"/>
      </w:pPr>
      <w:r>
        <w:rPr>
          <w:bCs/>
          <w:b/>
        </w:rPr>
        <w:t xml:space="preserve">Product Lifespan:</w:t>
      </w:r>
      <w:r>
        <w:t xml:space="preserve"> </w:t>
      </w:r>
      <w:r>
        <w:t xml:space="preserve">luzgfdguko (e.g., in years or operational hours)</w:t>
      </w:r>
    </w:p>
    <w:p>
      <w:pPr>
        <w:numPr>
          <w:ilvl w:val="0"/>
          <w:numId w:val="1007"/>
        </w:numPr>
        <w:pStyle w:val="Compact"/>
      </w:pPr>
      <w:r>
        <w:rPr>
          <w:bCs/>
          <w:b/>
        </w:rPr>
        <w:t xml:space="preserve">Energy Consumption in Use:</w:t>
      </w:r>
      <w:r>
        <w:t xml:space="preserve"> </w:t>
      </w:r>
      <w:r>
        <w:t xml:space="preserve">eeoikndgzz (e.g., kWh/year or kWh/operational hour)</w:t>
      </w:r>
    </w:p>
    <w:p>
      <w:pPr>
        <w:pStyle w:val="FirstParagraph"/>
      </w:pPr>
      <w:r>
        <w:t xml:space="preserve">This data is critical for assessing downstream Scope 3 emissions (Category 11: Use of Sold Products). The energy consumption over the product\'s lifespan is multiplied by the relevant electricity grid emission factors for the typical use region (assuming European end-users due to "Europe Focused" supply chain).</w:t>
      </w:r>
    </w:p>
    <w:bookmarkEnd w:id="32"/>
    <w:bookmarkStart w:id="33" w:name="end-of-life-eol-data"/>
    <w:p>
      <w:pPr>
        <w:pStyle w:val="Heading3"/>
      </w:pPr>
      <w:r>
        <w:t xml:space="preserve">4.5. End-of-Life (EoL) Data</w:t>
      </w:r>
    </w:p>
    <w:p>
      <w:pPr>
        <w:numPr>
          <w:ilvl w:val="0"/>
          <w:numId w:val="1008"/>
        </w:numPr>
        <w:pStyle w:val="Compact"/>
      </w:pPr>
      <w:r>
        <w:rPr>
          <w:bCs/>
          <w:b/>
        </w:rPr>
        <w:t xml:space="preserve">Recyclability Percentage:</w:t>
      </w:r>
      <w:r>
        <w:t xml:space="preserve"> </w:t>
      </w:r>
      <w:r>
        <w:t xml:space="preserve">eotffuiqyl (e.g., percentage of material that is technically recyclable)</w:t>
      </w:r>
    </w:p>
    <w:p>
      <w:pPr>
        <w:numPr>
          <w:ilvl w:val="0"/>
          <w:numId w:val="1008"/>
        </w:numPr>
        <w:pStyle w:val="Compact"/>
      </w:pPr>
      <w:r>
        <w:rPr>
          <w:bCs/>
          <w:b/>
        </w:rPr>
        <w:t xml:space="preserve">Circular/Take-back Programs:</w:t>
      </w:r>
      <w:r>
        <w:t xml:space="preserve"> </w:t>
      </w:r>
      <w:r>
        <w:t xml:space="preserve">vhzpowkdme (e.g., existence and effectiveness of take-back schemes)</w:t>
      </w:r>
    </w:p>
    <w:p>
      <w:pPr>
        <w:pStyle w:val="FirstParagraph"/>
      </w:pPr>
      <w:r>
        <w:t xml:space="preserve">These factors influence the emissions and potential credits (or avoided emissions) associated with the end-of-life treatment of ttxylteyhn (Scope 3, Category 12: End-of-Life Treatment of Sold Products). Higher recyclability and effective take-back programs can significantly reduce the overall PCF by avoiding virgin material production emissions. The 2026 LSR Update\'s focus on CO2 removals also becomes relevant here, if applicable to material recovery processes.</w:t>
      </w:r>
    </w:p>
    <w:bookmarkEnd w:id="33"/>
    <w:bookmarkEnd w:id="34"/>
    <w:bookmarkStart w:id="41" w:name="X439a6e6dcb43c636bf515ffaf3f59bce0bd6490"/>
    <w:p>
      <w:pPr>
        <w:pStyle w:val="Heading2"/>
      </w:pPr>
      <w:r>
        <w:t xml:space="preserve">5. Emission Calculation (Activity * Emission Factor = CO2e)</w:t>
      </w:r>
    </w:p>
    <w:p>
      <w:pPr>
        <w:pStyle w:val="FirstParagraph"/>
      </w:pPr>
      <w:r>
        <w:t xml:space="preserve">The total Product Carbon Footprint (PCF) for ttxylteyhn is determined by summing up the CO2e emissions across all lifecycle stages, categorized by GHG Protocol Scopes. Industry-standard emission factors from databases like Ecoinvent and DEFRA are conceptually applied for each activity and material.</w:t>
      </w:r>
    </w:p>
    <w:bookmarkStart w:id="35" w:name="scope-1-emissions"/>
    <w:p>
      <w:pPr>
        <w:pStyle w:val="Heading3"/>
      </w:pPr>
      <w:r>
        <w:t xml:space="preserve">5.1. Scope 1 Emissions</w:t>
      </w:r>
    </w:p>
    <w:p>
      <w:pPr>
        <w:pStyle w:val="FirstParagraph"/>
      </w:pPr>
      <w:r>
        <w:t xml:space="preserve">Given the "factory_gate" system boundary for primary operations, Scope 1 emissions would primarily include direct emissions from mtooorxyhd\'s owned or controlled sources in China, such as on-site fuel combustion for heating or machinery that is not accounted for in Scope 2. Since specific on-site fuel consumption data was not provided, these emissions are considered low for this PCF but would be quantified if primary data were available.</w:t>
      </w:r>
    </w:p>
    <w:p>
      <w:pPr>
        <w:pStyle w:val="BodyText"/>
      </w:pPr>
      <w:r>
        <w:rPr>
          <w:iCs/>
          <w:i/>
        </w:rPr>
        <w:t xml:space="preserve">Illustrative Example:</w:t>
      </w:r>
      <w:r>
        <w:t xml:space="preserve"> </w:t>
      </w:r>
      <w:r>
        <w:t xml:space="preserve">If mtooorxyhd uses a small amount of diesel for backup generators on-site, this would be a Scope 1 emission.</w:t>
      </w:r>
    </w:p>
    <w:bookmarkEnd w:id="35"/>
    <w:bookmarkStart w:id="36" w:name="scope-2-emissions"/>
    <w:p>
      <w:pPr>
        <w:pStyle w:val="Heading3"/>
      </w:pPr>
      <w:r>
        <w:t xml:space="preserve">5.2. Scope 2 Emissions</w:t>
      </w:r>
    </w:p>
    <w:p>
      <w:pPr>
        <w:pStyle w:val="FirstParagraph"/>
      </w:pPr>
      <w:r>
        <w:t xml:space="preserve">Scope 2 emissions represent indirect emissions from purchased electricity for the manufacturing process in China.</w:t>
      </w:r>
    </w:p>
    <w:p>
      <w:pPr>
        <w:pStyle w:val="BodyText"/>
      </w:pPr>
      <w:r>
        <w:rPr>
          <w:iCs/>
          <w:i/>
        </w:rPr>
        <w:t xml:space="preserve">Calculation Approach:</w:t>
      </w:r>
    </w:p>
    <w:p>
      <w:pPr>
        <w:pStyle w:val="BodyText"/>
      </w:pPr>
      <w:r>
        <w:rPr>
          <w:rStyle w:val="VerbatimChar"/>
        </w:rPr>
        <w:t xml:space="preserve">Purchased Electricity (kWh) = Energy Intensity (hlophlremr) - (Energy Intensity * Renewable Energy Usage percentage)</w:t>
      </w:r>
    </w:p>
    <w:p>
      <w:pPr>
        <w:pStyle w:val="BodyText"/>
      </w:pPr>
      <w:r>
        <w:rPr>
          <w:rStyle w:val="VerbatimChar"/>
        </w:rPr>
        <w:t xml:space="preserve">Scope 2 Emissions = Purchased Electricity (kWh) * China Grid Electricity Emission Factor (kgCO2e/kWh)</w:t>
      </w:r>
    </w:p>
    <w:p>
      <w:pPr>
        <w:pStyle w:val="BodyText"/>
      </w:pPr>
      <w:r>
        <w:t xml:space="preserve">The "Renewable Energy Usage: zjllrpwnge" parameter directly reduces the amount of electricity for which grid emission factors are applied, effectively lowering Scope 2 emissions. For instance, if hlophlremr = 10 kWh/unit and zjllrpwnge = 50%, and China\'s grid factor is 0.6 kgCO2e/kWh (illustrative, Ecoinvent provides regional grid factors):</w:t>
      </w:r>
    </w:p>
    <w:p>
      <w:pPr>
        <w:pStyle w:val="BodyText"/>
      </w:pPr>
      <w:r>
        <w:rPr>
          <w:rStyle w:val="VerbatimChar"/>
        </w:rPr>
        <w:t xml:space="preserve">Purchased Electricity from Grid = 10 kWh * (1 - 0.50) = 5 kWh</w:t>
      </w:r>
    </w:p>
    <w:p>
      <w:pPr>
        <w:pStyle w:val="BodyText"/>
      </w:pPr>
      <w:r>
        <w:rPr>
          <w:rStyle w:val="VerbatimChar"/>
        </w:rPr>
        <w:t xml:space="preserve">Illustrative Scope 2 Emissions = 5 kWh * 0.6 kgCO2e/kWh = 3.0 kgCO2e/unit</w:t>
      </w:r>
    </w:p>
    <w:bookmarkEnd w:id="36"/>
    <w:bookmarkStart w:id="39" w:name="scope-3-emissions"/>
    <w:p>
      <w:pPr>
        <w:pStyle w:val="Heading3"/>
      </w:pPr>
      <w:r>
        <w:t xml:space="preserve">5.3. Scope 3 Emissions</w:t>
      </w:r>
    </w:p>
    <w:p>
      <w:pPr>
        <w:pStyle w:val="FirstParagraph"/>
      </w:pPr>
      <w:r>
        <w:t xml:space="preserve">Scope 3 emissions constitute the majority of the product\'s carbon footprint, covering both upstream and downstream value chain activities. Achieving 95% coverage involves robust data integration across all relevant categories.</w:t>
      </w:r>
    </w:p>
    <w:bookmarkStart w:id="37" w:name="upstream-emissions"/>
    <w:p>
      <w:pPr>
        <w:pStyle w:val="Heading4"/>
      </w:pPr>
      <w:r>
        <w:t xml:space="preserve">5.3.1. Upstream Emissions</w:t>
      </w:r>
    </w:p>
    <w:p>
      <w:pPr>
        <w:numPr>
          <w:ilvl w:val="0"/>
          <w:numId w:val="1009"/>
        </w:numPr>
        <w:pStyle w:val="Compact"/>
      </w:pPr>
      <w:r>
        <w:rPr>
          <w:bCs/>
          <w:b/>
        </w:rPr>
        <w:t xml:space="preserve">Purchased Goods and Services (Category 1):</w:t>
      </w:r>
      <w:r>
        <w:t xml:space="preserve"> </w:t>
      </w:r>
      <w:r>
        <w:t xml:space="preserve">Emissions from the production of raw materials and components (based on BOM).</w:t>
      </w:r>
    </w:p>
    <w:p>
      <w:pPr>
        <w:numPr>
          <w:ilvl w:val="0"/>
          <w:numId w:val="1009"/>
        </w:numPr>
        <w:pStyle w:val="Compact"/>
      </w:pPr>
      <w:r>
        <w:rPr>
          <w:bCs/>
          <w:b/>
        </w:rPr>
        <w:t xml:space="preserve">Capital Goods (Category 2):</w:t>
      </w:r>
      <w:r>
        <w:t xml:space="preserve"> </w:t>
      </w:r>
      <w:r>
        <w:t xml:space="preserve">Emissions from the production of machinery and infrastructure used to manufacture ttxylteyhn. These are typically amortized over the lifespan of the capital goods and allocated to the product.</w:t>
      </w:r>
    </w:p>
    <w:p>
      <w:pPr>
        <w:numPr>
          <w:ilvl w:val="0"/>
          <w:numId w:val="1009"/>
        </w:numPr>
        <w:pStyle w:val="Compact"/>
      </w:pPr>
      <w:r>
        <w:rPr>
          <w:bCs/>
          <w:b/>
        </w:rPr>
        <w:t xml:space="preserve">Fuel- and Energy-Related Activities (Category 3, not included in Scope 1 or 2):</w:t>
      </w:r>
      <w:r>
        <w:t xml:space="preserve"> </w:t>
      </w:r>
      <w:r>
        <w:t xml:space="preserve">Emissions related to the production of fuels and energy purchased, such as upstream emissions from electricity generation.</w:t>
      </w:r>
    </w:p>
    <w:p>
      <w:pPr>
        <w:numPr>
          <w:ilvl w:val="0"/>
          <w:numId w:val="1009"/>
        </w:numPr>
        <w:pStyle w:val="Compact"/>
      </w:pPr>
      <w:r>
        <w:rPr>
          <w:bCs/>
          <w:b/>
        </w:rPr>
        <w:t xml:space="preserve">Upstream Transportation and Distribution (Category 4):</w:t>
      </w:r>
      <w:r>
        <w:t xml:space="preserve"> </w:t>
      </w:r>
      <w:r>
        <w:t xml:space="preserve">Emissions from transporting raw materials and components to mtooorxyhd\'s factory in China.</w:t>
      </w:r>
    </w:p>
    <w:p>
      <w:pPr>
        <w:numPr>
          <w:ilvl w:val="0"/>
          <w:numId w:val="1009"/>
        </w:numPr>
        <w:pStyle w:val="Compact"/>
      </w:pPr>
      <w:r>
        <w:rPr>
          <w:bCs/>
          <w:b/>
        </w:rPr>
        <w:t xml:space="preserve">Waste Generated in Operations (Category 5):</w:t>
      </w:r>
      <w:r>
        <w:t xml:space="preserve"> </w:t>
      </w:r>
      <w:r>
        <w:t xml:space="preserve">Emissions from waste disposal during the manufacturing process.</w:t>
      </w:r>
    </w:p>
    <w:bookmarkEnd w:id="37"/>
    <w:bookmarkStart w:id="38" w:name="downstream-emissions"/>
    <w:p>
      <w:pPr>
        <w:pStyle w:val="Heading4"/>
      </w:pPr>
      <w:r>
        <w:t xml:space="preserve">5.3.2. Downstream Emissions</w:t>
      </w:r>
    </w:p>
    <w:p>
      <w:pPr>
        <w:numPr>
          <w:ilvl w:val="0"/>
          <w:numId w:val="1010"/>
        </w:numPr>
        <w:pStyle w:val="Compact"/>
      </w:pPr>
      <w:r>
        <w:rPr>
          <w:bCs/>
          <w:b/>
        </w:rPr>
        <w:t xml:space="preserve">Downstream Transportation and Distribution (Category 9):</w:t>
      </w:r>
      <w:r>
        <w:t xml:space="preserve"> </w:t>
      </w:r>
      <w:r>
        <w:t xml:space="preserve">Emissions from transporting the finished product ttxylteyhn from the factory gate in China to customers in Europe, including "Delivery Type" last-mile delivery.</w:t>
      </w:r>
    </w:p>
    <w:p>
      <w:pPr>
        <w:numPr>
          <w:ilvl w:val="0"/>
          <w:numId w:val="1010"/>
        </w:numPr>
        <w:pStyle w:val="Compact"/>
      </w:pPr>
      <w:r>
        <w:rPr>
          <w:bCs/>
          <w:b/>
        </w:rPr>
        <w:t xml:space="preserve">Use of Sold Products (Category 11):</w:t>
      </w:r>
      <w:r>
        <w:t xml:space="preserve"> </w:t>
      </w:r>
      <w:r>
        <w:t xml:space="preserve">Emissions from the energy consumed by ttxylteyhn during its "luzgfdguko" lifespan, as per "eeoikndgzz" energy consumption.</w:t>
      </w:r>
    </w:p>
    <w:p>
      <w:pPr>
        <w:numPr>
          <w:ilvl w:val="0"/>
          <w:numId w:val="1010"/>
        </w:numPr>
        <w:pStyle w:val="Compact"/>
      </w:pPr>
      <w:r>
        <w:rPr>
          <w:bCs/>
          <w:b/>
        </w:rPr>
        <w:t xml:space="preserve">End-of-Life Treatment of Sold Products (Category 12):</w:t>
      </w:r>
      <w:r>
        <w:t xml:space="preserve"> </w:t>
      </w:r>
      <w:r>
        <w:t xml:space="preserve">Emissions (or avoided emissions/credits) from the disposal or recycling of ttxylteyhn, influenced by "eotffuiqyl" recyclability and "vhzpowkdme" circular programs.</w:t>
      </w:r>
    </w:p>
    <w:bookmarkEnd w:id="38"/>
    <w:bookmarkEnd w:id="39"/>
    <w:bookmarkStart w:id="40" w:name="X9b435f9006cf04294f943c0bc3e88ac8be6bd1a"/>
    <w:p>
      <w:pPr>
        <w:pStyle w:val="Heading3"/>
      </w:pPr>
      <w:r>
        <w:t xml:space="preserve">5.4. Total Product Carbon Footprint (Illustrative)</w:t>
      </w:r>
    </w:p>
    <w:p>
      <w:pPr>
        <w:pStyle w:val="FirstParagraph"/>
      </w:pPr>
      <w:r>
        <w:t xml:space="preserve">Based on the illustrative calculations above, a conceptual breakdown of the PCF for 1.0 unit of ttxylteyhn could be: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c>
          <w:tcPr/>
          <w:p>
            <w:pPr>
              <w:pStyle w:val="Compact"/>
              <w:jc w:val="left"/>
            </w:pPr>
            <w:r>
              <w:t xml:space="preserve">Key Drivers</w:t>
            </w:r>
          </w:p>
        </w:tc>
      </w:tr>
      <w:tr>
        <w:tc>
          <w:tcPr/>
          <w:p>
            <w:pPr>
              <w:pStyle w:val="Compact"/>
              <w:jc w:val="left"/>
            </w:pPr>
            <w:r>
              <w:t xml:space="preserve">Raw Material Acquisition &amp; Pre-processing</w:t>
            </w:r>
          </w:p>
        </w:tc>
        <w:tc>
          <w:tcPr/>
          <w:p>
            <w:pPr>
              <w:pStyle w:val="Compact"/>
              <w:jc w:val="left"/>
            </w:pPr>
            <w:r>
              <w:t xml:space="preserve">Scope 3 (Category 1, 2, 3)</w:t>
            </w:r>
          </w:p>
        </w:tc>
        <w:tc>
          <w:tcPr/>
          <w:p>
            <w:pPr>
              <w:pStyle w:val="Compact"/>
              <w:jc w:val="left"/>
            </w:pPr>
            <w:r>
              <w:t xml:space="preserve">5.76 (from BOM)</w:t>
            </w:r>
          </w:p>
        </w:tc>
        <w:tc>
          <w:tcPr/>
          <w:p>
            <w:pPr>
              <w:pStyle w:val="Compact"/>
              <w:jc w:val="left"/>
            </w:pPr>
            <w:r>
              <w:t xml:space="preserve">Material choice, supplier processes</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Energy intensity, grid mix, renewable energy usage</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1.50</w:t>
            </w:r>
          </w:p>
        </w:tc>
        <w:tc>
          <w:tcPr/>
          <w:p>
            <w:pPr>
              <w:pStyle w:val="Compact"/>
              <w:jc w:val="left"/>
            </w:pPr>
            <w:r>
              <w:t xml:space="preserve">Transport mode, distance, efficiency</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2.50</w:t>
            </w:r>
          </w:p>
        </w:tc>
        <w:tc>
          <w:tcPr/>
          <w:p>
            <w:pPr>
              <w:pStyle w:val="Compact"/>
              <w:jc w:val="left"/>
            </w:pPr>
            <w:r>
              <w:t xml:space="preserve">Transport mode, distance, last-mile efficiency</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c>
          <w:tcPr/>
          <w:p>
            <w:pPr>
              <w:pStyle w:val="Compact"/>
              <w:jc w:val="left"/>
            </w:pPr>
            <w:r>
              <w:t xml:space="preserve">Product lifespan, energy consumption in use, user region grid mix</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-2.00 (Credit)</w:t>
            </w:r>
          </w:p>
        </w:tc>
        <w:tc>
          <w:tcPr/>
          <w:p>
            <w:pPr>
              <w:pStyle w:val="Compact"/>
              <w:jc w:val="left"/>
            </w:pPr>
            <w:r>
              <w:t xml:space="preserve">Recyclability, circular programs, waste management infrastructure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40.76 kg CO2e/unit</w:t>
            </w:r>
          </w:p>
        </w:tc>
        <w:tc>
          <w:tcPr/>
          <w:p>
            <w:pPr>
              <w:pStyle w:val="Compact"/>
            </w:pPr>
          </w:p>
        </w:tc>
      </w:tr>
    </w:tbl>
    <w:p>
      <w:pPr>
        <w:pStyle w:val="BodyText"/>
      </w:pPr>
      <w:r>
        <w:rPr>
          <w:iCs/>
          <w:i/>
        </w:rPr>
        <w:t xml:space="preserve">Note: These are illustrative figures based on hypothetical emission factors and activity data for demonstration purposes. Actual calculations would require precise, verified data and specific emission factors from databases like Ecoinvent or DEFRA for each material, process, and energy source involved.</w:t>
      </w:r>
    </w:p>
    <w:bookmarkEnd w:id="40"/>
    <w:bookmarkEnd w:id="41"/>
    <w:bookmarkStart w:id="45" w:name="review-reporting"/>
    <w:p>
      <w:pPr>
        <w:pStyle w:val="Heading2"/>
      </w:pPr>
      <w:r>
        <w:t xml:space="preserve">6. Review &amp; Reporting</w:t>
      </w:r>
    </w:p>
    <w:p>
      <w:pPr>
        <w:pStyle w:val="FirstParagraph"/>
      </w:pPr>
      <w:r>
        <w:t xml:space="preserve">The PCF analysis reveals key insights and areas for potential emission reduction.</w:t>
      </w:r>
    </w:p>
    <w:bookmarkStart w:id="42" w:name="hotspot-identification"/>
    <w:p>
      <w:pPr>
        <w:pStyle w:val="Heading3"/>
      </w:pPr>
      <w:r>
        <w:t xml:space="preserve">6.1. Hotspot Identification</w:t>
      </w:r>
    </w:p>
    <w:p>
      <w:pPr>
        <w:pStyle w:val="FirstParagraph"/>
      </w:pPr>
      <w:r>
        <w:t xml:space="preserve">Based on the illustrative calculations, the most significant emission hotspots for ttxylteyhn are identified as:</w:t>
      </w:r>
    </w:p>
    <w:p>
      <w:pPr>
        <w:numPr>
          <w:ilvl w:val="0"/>
          <w:numId w:val="1011"/>
        </w:numPr>
        <w:pStyle w:val="Compact"/>
      </w:pPr>
      <w:r>
        <w:rPr>
          <w:bCs/>
          <w:b/>
        </w:rPr>
        <w:t xml:space="preserve">Use Phase:</w:t>
      </w:r>
      <w:r>
        <w:t xml:space="preserve"> </w:t>
      </w:r>
      <w:r>
        <w:t xml:space="preserve">Representing the largest portion of the footprint, highlighting the importance of energy efficiency during product operation.</w:t>
      </w:r>
    </w:p>
    <w:p>
      <w:pPr>
        <w:numPr>
          <w:ilvl w:val="0"/>
          <w:numId w:val="1011"/>
        </w:numPr>
        <w:pStyle w:val="Compact"/>
      </w:pPr>
      <w:r>
        <w:rPr>
          <w:bCs/>
          <w:b/>
        </w:rPr>
        <w:t xml:space="preserve">Raw Material Acquisition &amp; Pre-processing:</w:t>
      </w:r>
      <w:r>
        <w:t xml:space="preserve"> </w:t>
      </w:r>
      <w:r>
        <w:t xml:space="preserve">Material choices and supplier processes for components like aluminum, plastics, and electronics contribute substantially to upstream emissions.</w:t>
      </w:r>
    </w:p>
    <w:p>
      <w:pPr>
        <w:numPr>
          <w:ilvl w:val="0"/>
          <w:numId w:val="1011"/>
        </w:numPr>
        <w:pStyle w:val="Compact"/>
      </w:pPr>
      <w:r>
        <w:rPr>
          <w:bCs/>
          <w:b/>
        </w:rPr>
        <w:t xml:space="preserve">Transportation:</w:t>
      </w:r>
      <w:r>
        <w:t xml:space="preserve"> </w:t>
      </w:r>
      <w:r>
        <w:t xml:space="preserve">Both upstream and downstream logistics, especially long-distance freight and last-mile delivery, are notable contributors.</w:t>
      </w:r>
    </w:p>
    <w:bookmarkEnd w:id="42"/>
    <w:bookmarkStart w:id="43" w:name="reliability-statement"/>
    <w:p>
      <w:pPr>
        <w:pStyle w:val="Heading3"/>
      </w:pPr>
      <w:r>
        <w:t xml:space="preserve">6.2. Reliability Statement</w:t>
      </w:r>
    </w:p>
    <w:p>
      <w:pPr>
        <w:pStyle w:val="FirstParagraph"/>
      </w:pPr>
      <w:r>
        <w:t xml:space="preserve">The reliability of this PCF report is directly proportional to the accuracy and completeness of the input data. While adherence to GHG Protocol standards and the use of industry-standard emission factors ensure methodological robustness, primary data for all parameters (e.g., actual supplier-specific emission factors, precise transport routes and modes, measured energy consumption) would enhance precision. The 95% Scope 3 coverage target ensures a comprehensive view of the value chain.</w:t>
      </w:r>
    </w:p>
    <w:bookmarkEnd w:id="43"/>
    <w:bookmarkStart w:id="44" w:name="recommendations-for-emission-reduction"/>
    <w:p>
      <w:pPr>
        <w:pStyle w:val="Heading3"/>
      </w:pPr>
      <w:r>
        <w:t xml:space="preserve">6.3. Recommendations for Emission Reduction</w:t>
      </w:r>
    </w:p>
    <w:p>
      <w:pPr>
        <w:numPr>
          <w:ilvl w:val="0"/>
          <w:numId w:val="1012"/>
        </w:numPr>
        <w:pStyle w:val="Compact"/>
      </w:pPr>
      <w:r>
        <w:rPr>
          <w:bCs/>
          <w:b/>
        </w:rPr>
        <w:t xml:space="preserve">Enhance Product Energy Efficiency:</w:t>
      </w:r>
      <w:r>
        <w:t xml:space="preserve"> </w:t>
      </w:r>
      <w:r>
        <w:t xml:space="preserve">Focus on R&amp;D to significantly reduce energy consumption during the product\'s use phase, or explore alternative energy sources for the product itself.</w:t>
      </w:r>
    </w:p>
    <w:p>
      <w:pPr>
        <w:numPr>
          <w:ilvl w:val="0"/>
          <w:numId w:val="1012"/>
        </w:numPr>
        <w:pStyle w:val="Compact"/>
      </w:pPr>
      <w:r>
        <w:rPr>
          <w:bCs/>
          <w:b/>
        </w:rPr>
        <w:t xml:space="preserve">Sustainable Sourcing:</w:t>
      </w:r>
      <w:r>
        <w:t xml:space="preserve"> </w:t>
      </w:r>
      <w:r>
        <w:t xml:space="preserve">Prioritize suppliers with lower carbon footprints for high-impact materials (e.g., low-carbon aluminum, recycled plastics). Engage with suppliers to collect primary data for improved accuracy.</w:t>
      </w:r>
    </w:p>
    <w:p>
      <w:pPr>
        <w:numPr>
          <w:ilvl w:val="0"/>
          <w:numId w:val="1012"/>
        </w:numPr>
        <w:pStyle w:val="Compact"/>
      </w:pPr>
      <w:r>
        <w:rPr>
          <w:bCs/>
          <w:b/>
        </w:rPr>
        <w:t xml:space="preserve">Optimize Logistics:</w:t>
      </w:r>
      <w:r>
        <w:t xml:space="preserve"> </w:t>
      </w:r>
      <w:r>
        <w:t xml:space="preserve">Explore more efficient and lower-emission transport modes (e.g., rail or sea over air where feasible, optimizing load factors), and explore local sourcing options to reduce transport distances.</w:t>
      </w:r>
    </w:p>
    <w:p>
      <w:pPr>
        <w:numPr>
          <w:ilvl w:val="0"/>
          <w:numId w:val="1012"/>
        </w:numPr>
        <w:pStyle w:val="Compact"/>
      </w:pPr>
      <w:r>
        <w:rPr>
          <w:bCs/>
          <w:b/>
        </w:rPr>
        <w:t xml:space="preserve">Circular Economy Integration:</w:t>
      </w:r>
      <w:r>
        <w:t xml:space="preserve"> </w:t>
      </w:r>
      <w:r>
        <w:t xml:space="preserve">Strengthen take-back programs (vhzpowkdme) and design for increased recyclability (eotffuiqyl) to maximize material recovery and minimize end-of-life impacts, potentially generating further avoided emissions or credits.</w:t>
      </w:r>
    </w:p>
    <w:p>
      <w:pPr>
        <w:numPr>
          <w:ilvl w:val="0"/>
          <w:numId w:val="1012"/>
        </w:numPr>
        <w:pStyle w:val="Compact"/>
      </w:pPr>
      <w:r>
        <w:rPr>
          <w:bCs/>
          <w:b/>
        </w:rPr>
        <w:t xml:space="preserve">Increase Renewable Energy Adoption:</w:t>
      </w:r>
      <w:r>
        <w:t xml:space="preserve"> </w:t>
      </w:r>
      <w:r>
        <w:t xml:space="preserve">Continue to invest in and procure renewable energy for manufacturing operations (zjllrpwnge) to further decarbonize Scope 2 emissions.</w: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ttxylteyhn</dc:title>
  <dc:creator/>
  <dc:description>Detailed Product Carbon Footprint (PCF) analysis report for ttxylteyhn, adhering to GHG Protocol standards and including Scope 1, 2, and 3 emissions for mtooorxyhd.</dc:description>
  <dc:language>en</dc:language>
  <cp:keywords/>
  <dcterms:created xsi:type="dcterms:W3CDTF">2026-05-30T16:55:53Z</dcterms:created>
  <dcterms:modified xsi:type="dcterms:W3CDTF">2026-05-30T16:55:53Z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