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ttrzjmuwph</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ttrzjmuwph</w:t>
      </w:r>
    </w:p>
    <w:p>
      <w:pPr>
        <w:pStyle w:val="BodyText"/>
      </w:pPr>
      <w:r>
        <w:rPr>
          <w:bCs/>
          <w:b/>
        </w:rPr>
        <w:t xml:space="preserve">Company:</w:t>
      </w:r>
      <w:r>
        <w:t xml:space="preserve"> </w:t>
      </w:r>
      <w:r>
        <w:t xml:space="preserve">mzeglhjtsj</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nssrfpewyw</w:t>
      </w:r>
    </w:p>
    <w:p>
      <w:pPr>
        <w:pStyle w:val="BodyText"/>
      </w:pPr>
      <w:r>
        <w:rPr>
          <w:iCs/>
          <w:i/>
        </w:rPr>
        <w:t xml:space="preserve">Disclaimer: This report is generated based on available data and industry standards at the time of publication. While efforts have been made to ensure accuracy, specific conditions and data limitations may influence the results.</w:t>
      </w:r>
    </w:p>
    <w:bookmarkEnd w:id="20"/>
    <w:bookmarkStart w:id="55" w:name="Xaf53dcf1814522e1722c7d34f0be95f3840cccf"/>
    <w:p>
      <w:pPr>
        <w:pStyle w:val="Heading1"/>
      </w:pPr>
      <w:r>
        <w:t xml:space="preserve">Product Carbon Footprint (PCF) Analysis Report for ttrzjmuwph</w:t>
      </w:r>
    </w:p>
    <w:p>
      <w:pPr>
        <w:pStyle w:val="FirstParagraph"/>
      </w:pPr>
      <w:r>
        <w:rPr>
          <w:bCs/>
          <w:b/>
        </w:rPr>
        <w:t xml:space="preserve">Generated Date:</w:t>
      </w:r>
      <w:r>
        <w:t xml:space="preserve"> </w:t>
      </w:r>
      <w:r>
        <w:t xml:space="preserve">May 29, 2026</w:t>
      </w:r>
    </w:p>
    <w:p>
      <w:pPr>
        <w:pStyle w:val="BodyText"/>
      </w:pPr>
      <w:r>
        <w:rPr>
          <w:bCs/>
          <w:b/>
        </w:rPr>
        <w:t xml:space="preserve">Senior Sustainability Consultant:</w:t>
      </w:r>
      <w:r>
        <w:t xml:space="preserve"> </w:t>
      </w:r>
      <w:r>
        <w:t xml:space="preserve">nssrfpewyw</w:t>
      </w:r>
    </w:p>
    <w:p>
      <w:pPr>
        <w:pStyle w:val="BodyText"/>
      </w:pPr>
      <w:r>
        <w:t xml:space="preserve">This report presents a high-detail Product Carbon Footprint (PCF) analysis for the product</w:t>
      </w:r>
      <w:r>
        <w:t xml:space="preserve"> </w:t>
      </w:r>
      <w:r>
        <w:rPr>
          <w:bCs/>
          <w:b/>
        </w:rPr>
        <w:t xml:space="preserve">ttrzjmuwph</w:t>
      </w:r>
      <w:r>
        <w:t xml:space="preserve">, manufactured by</w:t>
      </w:r>
      <w:r>
        <w:t xml:space="preserve"> </w:t>
      </w:r>
      <w:r>
        <w:rPr>
          <w:bCs/>
          <w:b/>
        </w:rPr>
        <w:t xml:space="preserve">mzeglhjtsj</w:t>
      </w:r>
      <w:r>
        <w:t xml:space="preserve">. The analysis adheres to the Greenhouse Gas (GHG) Protocol, including consideration of the 2026 Land Sector and Removals (LSR) Standard update and ensuring at least 95% coverage for Scope 3 emissions. The objective is to quantify the greenhouse gas emissions associated with the product\'s entire lifecycle, from raw material extraction to end-of-life, providing insights into environmental hotspots and opportunities for reduction.</w:t>
      </w:r>
    </w:p>
    <w:p>
      <w:r>
        <w:pict>
          <v:rect style="width:0;height:1.5pt" o:hralign="center" o:hrstd="t" o:hr="t"/>
        </w:pict>
      </w:r>
    </w:p>
    <w:bookmarkStart w:id="21" w:name="executive-summary"/>
    <w:p>
      <w:pPr>
        <w:pStyle w:val="Heading2"/>
      </w:pPr>
      <w:r>
        <w:t xml:space="preserve">Executive Summary</w:t>
      </w:r>
    </w:p>
    <w:p>
      <w:pPr>
        <w:pStyle w:val="FirstParagraph"/>
      </w:pPr>
      <w:r>
        <w:t xml:space="preserve">The Product Carbon Footprint for ttrzjmuwph, a product by mzeglhjtsj, has been calculated at</w:t>
      </w:r>
      <w:r>
        <w:t xml:space="preserve"> </w:t>
      </w:r>
      <w:r>
        <w:rPr>
          <w:bCs/>
          <w:b/>
        </w:rPr>
        <w:t xml:space="preserve">44.66 kg CO2e per functional unit</w:t>
      </w:r>
      <w:r>
        <w:t xml:space="preserve">. The analysis highlights that the most significant contributions to the total footprint come from the use phase and the last-mile delivery. Raw material acquisition and manufacturing energy also contribute substantially. This report provides a detailed breakdown of emissions across the product\'s lifecycle, categorized according to the GHG Protocol\'s Scope 1, Scope 2, and Scope 3 framework, offering a robust foundation for targeted sustainability initiatives and reductions.</w:t>
      </w:r>
    </w:p>
    <w:p>
      <w:r>
        <w:pict>
          <v:rect style="width:0;height:1.5pt" o:hralign="center" o:hrstd="t" o:hr="t"/>
        </w:pict>
      </w:r>
    </w:p>
    <w:bookmarkEnd w:id="21"/>
    <w:bookmarkStart w:id="27" w:name="methodology-and-scope-definition"/>
    <w:p>
      <w:pPr>
        <w:pStyle w:val="Heading2"/>
      </w:pPr>
      <w:r>
        <w:t xml:space="preserve">1. Methodology and Scope Definition</w:t>
      </w:r>
    </w:p>
    <w:p>
      <w:pPr>
        <w:pStyle w:val="FirstParagraph"/>
      </w:pPr>
      <w:r>
        <w:t xml:space="preserve">This Product Carbon Footprint (PCF) analysis is conducted in accordance with the GHG Protocol, the most widely used international accounting tool for quantifying greenhouse gas emissions. The methodology follows a five-step approach:</w:t>
      </w:r>
    </w:p>
    <w:p>
      <w:pPr>
        <w:numPr>
          <w:ilvl w:val="0"/>
          <w:numId w:val="1001"/>
        </w:numPr>
        <w:pStyle w:val="Compact"/>
      </w:pPr>
      <w:r>
        <w:rPr>
          <w:bCs/>
          <w:b/>
        </w:rPr>
        <w:t xml:space="preserve">Define Scope:</w:t>
      </w:r>
      <w:r>
        <w:t xml:space="preserve"> </w:t>
      </w:r>
      <w:r>
        <w:t xml:space="preserve">Establish the functional unit, system boundaries, geographic scope, and allocation rules.</w:t>
      </w:r>
    </w:p>
    <w:p>
      <w:pPr>
        <w:numPr>
          <w:ilvl w:val="0"/>
          <w:numId w:val="1001"/>
        </w:numPr>
        <w:pStyle w:val="Compact"/>
      </w:pPr>
      <w:r>
        <w:rPr>
          <w:bCs/>
          <w:b/>
        </w:rPr>
        <w:t xml:space="preserve">Map Lifecycle:</w:t>
      </w:r>
      <w:r>
        <w:t xml:space="preserve"> </w:t>
      </w:r>
      <w:r>
        <w:t xml:space="preserve">Identify all relevant lifecycle stages and associated inventory flows.</w:t>
      </w:r>
    </w:p>
    <w:p>
      <w:pPr>
        <w:numPr>
          <w:ilvl w:val="0"/>
          <w:numId w:val="1001"/>
        </w:numPr>
        <w:pStyle w:val="Compact"/>
      </w:pPr>
      <w:r>
        <w:rPr>
          <w:bCs/>
          <w:b/>
        </w:rPr>
        <w:t xml:space="preserve">Collect Data:</w:t>
      </w:r>
      <w:r>
        <w:t xml:space="preserve"> </w:t>
      </w:r>
      <w:r>
        <w:t xml:space="preserve">Gather primary and secondary activity data and emission factors.</w:t>
      </w:r>
    </w:p>
    <w:p>
      <w:pPr>
        <w:numPr>
          <w:ilvl w:val="0"/>
          <w:numId w:val="1001"/>
        </w:numPr>
        <w:pStyle w:val="Compact"/>
      </w:pPr>
      <w:r>
        <w:rPr>
          <w:bCs/>
          <w:b/>
        </w:rPr>
        <w:t xml:space="preserve">Calculate Emissions:</w:t>
      </w:r>
      <w:r>
        <w:t xml:space="preserve"> </w:t>
      </w:r>
      <w:r>
        <w:t xml:space="preserve">Quantify emissions for each stage and categorize them by GHG Protocol Scopes.</w:t>
      </w:r>
    </w:p>
    <w:p>
      <w:pPr>
        <w:numPr>
          <w:ilvl w:val="0"/>
          <w:numId w:val="1001"/>
        </w:numPr>
        <w:pStyle w:val="Compact"/>
      </w:pPr>
      <w:r>
        <w:rPr>
          <w:bCs/>
          <w:b/>
        </w:rPr>
        <w:t xml:space="preserve">Review &amp; Report:</w:t>
      </w:r>
      <w:r>
        <w:t xml:space="preserve"> </w:t>
      </w:r>
      <w:r>
        <w:t xml:space="preserve">Analyze results, identify hotspots, and discuss reliability and recommendations.</w:t>
      </w:r>
    </w:p>
    <w:bookmarkStart w:id="22" w:name="functional-unit"/>
    <w:p>
      <w:pPr>
        <w:pStyle w:val="Heading3"/>
      </w:pPr>
      <w:r>
        <w:t xml:space="preserve">1.1 Functional Unit</w:t>
      </w:r>
    </w:p>
    <w:p>
      <w:pPr>
        <w:pStyle w:val="FirstParagraph"/>
      </w:pPr>
      <w:r>
        <w:t xml:space="preserve">The functional unit for this PCF is defined as</w:t>
      </w:r>
      <w:r>
        <w:t xml:space="preserve"> </w:t>
      </w:r>
      <w:r>
        <w:rPr>
          <w:bCs/>
          <w:b/>
        </w:rPr>
        <w:t xml:space="preserve">1.0 unit of ttrzjmuwph</w:t>
      </w:r>
      <w:r>
        <w:t xml:space="preserve">, representing the basis for all emission calculations and comparisons.</w:t>
      </w:r>
    </w:p>
    <w:bookmarkEnd w:id="22"/>
    <w:bookmarkStart w:id="23" w:name="system-boundary"/>
    <w:p>
      <w:pPr>
        <w:pStyle w:val="Heading3"/>
      </w:pPr>
      <w:r>
        <w:t xml:space="preserve">1.2 System Boundary</w:t>
      </w:r>
    </w:p>
    <w:p>
      <w:pPr>
        <w:pStyle w:val="FirstParagraph"/>
      </w:pPr>
      <w:r>
        <w:t xml:space="preserve">The system boundary adopted for this analysis is \'</w:t>
      </w:r>
      <w:r>
        <w:rPr>
          <w:bCs/>
          <w:b/>
        </w:rPr>
        <w:t xml:space="preserve">factory_gate</w:t>
      </w:r>
      <w:r>
        <w:t xml:space="preserve">\', encompassing emissions from raw material extraction and processing, product manufacturing (up to the point it leaves the factory gate), inbound and outbound logistics, the product\'s use phase, and its end-of-life treatment. This cradle-to-grave approach provides a comprehensive view of the product\'s environmental impact across its entire value chain.</w:t>
      </w:r>
    </w:p>
    <w:bookmarkEnd w:id="23"/>
    <w:bookmarkStart w:id="24" w:name="geographic-scope"/>
    <w:p>
      <w:pPr>
        <w:pStyle w:val="Heading3"/>
      </w:pPr>
      <w:r>
        <w:t xml:space="preserve">1.3 Geographic Scope</w:t>
      </w:r>
    </w:p>
    <w:p>
      <w:pPr>
        <w:pStyle w:val="FirstParagraph"/>
      </w:pPr>
      <w:r>
        <w:t xml:space="preserve">The geographic scope for final production is</w:t>
      </w:r>
      <w:r>
        <w:t xml:space="preserve"> </w:t>
      </w:r>
      <w:r>
        <w:rPr>
          <w:bCs/>
          <w:b/>
        </w:rPr>
        <w:t xml:space="preserve">China</w:t>
      </w:r>
      <w:r>
        <w:t xml:space="preserve">, with a supply chain focus on</w:t>
      </w:r>
      <w:r>
        <w:t xml:space="preserve"> </w:t>
      </w:r>
      <w:r>
        <w:rPr>
          <w:bCs/>
          <w:b/>
        </w:rPr>
        <w:t xml:space="preserve">Europe Focused</w:t>
      </w:r>
      <w:r>
        <w:t xml:space="preserve"> </w:t>
      </w:r>
      <w:r>
        <w:t xml:space="preserve">regions for upstream material sourcing and downstream distribution. This dual focus ensures that relevant regional emission factors are applied where appropriate.</w:t>
      </w:r>
    </w:p>
    <w:bookmarkEnd w:id="24"/>
    <w:bookmarkStart w:id="25" w:name="X63ceb8aa6185bd3fab3edb842dafce1e661be45"/>
    <w:p>
      <w:pPr>
        <w:pStyle w:val="Heading3"/>
      </w:pPr>
      <w:r>
        <w:t xml:space="preserve">1.4 Accounting Standard and Scope Categorization</w:t>
      </w:r>
    </w:p>
    <w:p>
      <w:pPr>
        <w:pStyle w:val="FirstParagraph"/>
      </w:pPr>
      <w:r>
        <w:t xml:space="preserve">The PCF is calculated in strict adherence to the</w:t>
      </w:r>
      <w:r>
        <w:t xml:space="preserve"> </w:t>
      </w:r>
      <w:r>
        <w:rPr>
          <w:bCs/>
          <w:b/>
        </w:rPr>
        <w:t xml:space="preserve">GHG Protocol</w:t>
      </w:r>
      <w:r>
        <w:t xml:space="preserve">. Emissions are categorized into three scopes:</w:t>
      </w:r>
    </w:p>
    <w:p>
      <w:pPr>
        <w:numPr>
          <w:ilvl w:val="0"/>
          <w:numId w:val="1002"/>
        </w:numPr>
        <w:pStyle w:val="Compact"/>
      </w:pPr>
      <w:r>
        <w:rPr>
          <w:bCs/>
          <w:b/>
        </w:rPr>
        <w:t xml:space="preserve">Scope 1:</w:t>
      </w:r>
      <w:r>
        <w:t xml:space="preserve"> </w:t>
      </w:r>
      <w:r>
        <w:t xml:space="preserve">Direct GHG emissions from sources owned or controlled by mzeglhjtsj.</w:t>
      </w:r>
    </w:p>
    <w:p>
      <w:pPr>
        <w:numPr>
          <w:ilvl w:val="0"/>
          <w:numId w:val="1002"/>
        </w:numPr>
        <w:pStyle w:val="Compact"/>
      </w:pPr>
      <w:r>
        <w:rPr>
          <w:bCs/>
          <w:b/>
        </w:rPr>
        <w:t xml:space="preserve">Scope 2:</w:t>
      </w:r>
      <w:r>
        <w:t xml:space="preserve"> </w:t>
      </w:r>
      <w:r>
        <w:t xml:space="preserve">Indirect GHG emissions from the generation of purchased electricity, heat, or steam consumed by mzeglhjtsj.</w:t>
      </w:r>
    </w:p>
    <w:p>
      <w:pPr>
        <w:numPr>
          <w:ilvl w:val="0"/>
          <w:numId w:val="1002"/>
        </w:numPr>
        <w:pStyle w:val="Compact"/>
      </w:pPr>
      <w:r>
        <w:rPr>
          <w:bCs/>
          <w:b/>
        </w:rPr>
        <w:t xml:space="preserve">Scope 3:</w:t>
      </w:r>
      <w:r>
        <w:t xml:space="preserve"> </w:t>
      </w:r>
      <w:r>
        <w:t xml:space="preserve">All other indirect GHG emissions occurring in the value chain of mzeglhjtsj, both upstream and downstream.</w:t>
      </w:r>
    </w:p>
    <w:bookmarkEnd w:id="25"/>
    <w:bookmarkStart w:id="26" w:name="lsr-update-and-scope-3-compliance"/>
    <w:p>
      <w:pPr>
        <w:pStyle w:val="Heading3"/>
      </w:pPr>
      <w:r>
        <w:t xml:space="preserve">1.5 2026 LSR Update and Scope 3 Compliance</w:t>
      </w:r>
    </w:p>
    <w:p>
      <w:pPr>
        <w:pStyle w:val="FirstParagraph"/>
      </w:pPr>
      <w:r>
        <w:t xml:space="preserve">This report incorporates the principles of the</w:t>
      </w:r>
      <w:r>
        <w:t xml:space="preserve"> </w:t>
      </w:r>
      <w:r>
        <w:rPr>
          <w:bCs/>
          <w:b/>
        </w:rPr>
        <w:t xml:space="preserve">2026 Land Sector and Removals (LSR) Standard</w:t>
      </w:r>
      <w:r>
        <w:t xml:space="preserve">, which provides requirements for accounting and reporting land emissions and CO2 removals. While specific land-use change data for the generic product ttrzjmuwph\'s raw materials is not available at a granular level, the standard’s implications for improved traceability and accounting for biogenic carbon are acknowledged. For manufactured products, the LSR standard can influence upstream supply chain emissions, particularly for materials derived from agriculture or forestry. The analysis also ensures at least</w:t>
      </w:r>
      <w:r>
        <w:t xml:space="preserve"> </w:t>
      </w:r>
      <w:r>
        <w:rPr>
          <w:bCs/>
          <w:b/>
        </w:rPr>
        <w:t xml:space="preserve">95% coverage for Scope 3 emissions</w:t>
      </w:r>
      <w:r>
        <w:t xml:space="preserve">, aligning with the proposed 2026 GHG Protocol requirements for enhanced completeness and transparency in value chain reporting.</w:t>
      </w:r>
    </w:p>
    <w:p>
      <w:r>
        <w:pict>
          <v:rect style="width:0;height:1.5pt" o:hralign="center" o:hrstd="t" o:hr="t"/>
        </w:pict>
      </w:r>
    </w:p>
    <w:bookmarkEnd w:id="26"/>
    <w:bookmarkEnd w:id="27"/>
    <w:bookmarkStart w:id="34" w:name="lifecycle-mapping-and-inventory-stages"/>
    <w:p>
      <w:pPr>
        <w:pStyle w:val="Heading2"/>
      </w:pPr>
      <w:r>
        <w:t xml:space="preserve">2. Lifecycle Mapping and Inventory Stages</w:t>
      </w:r>
    </w:p>
    <w:p>
      <w:pPr>
        <w:pStyle w:val="FirstParagraph"/>
      </w:pPr>
      <w:r>
        <w:t xml:space="preserve">The lifecycle of ttrzjmuwph is mapped across five primary stages, detailing material and energy inputs:</w:t>
      </w:r>
    </w:p>
    <w:bookmarkStart w:id="29" w:name="X7e5be8444cc6d3e170b79cefb2ddd6c3e80cbc9"/>
    <w:p>
      <w:pPr>
        <w:pStyle w:val="Heading3"/>
      </w:pPr>
      <w:r>
        <w:t xml:space="preserve">2.1 Raw Material Acquisition and Pre-processing (Scope 3, Category 1)</w:t>
      </w:r>
    </w:p>
    <w:p>
      <w:pPr>
        <w:pStyle w:val="FirstParagraph"/>
      </w:pPr>
      <w:r>
        <w:t xml:space="preserve">This stage includes the extraction, processing, and initial manufacturing of all materials specified in the Detailed Bill of Materials (BOM). These emissions are categorized under Scope 3, \'Purchased Goods and Services\'.</w:t>
      </w:r>
    </w:p>
    <w:bookmarkStart w:id="28" w:name="detailed-bill-of-materials-bom-pgtxzqld"/>
    <w:p>
      <w:pPr>
        <w:pStyle w:val="Heading4"/>
      </w:pPr>
      <w:r>
        <w:t xml:space="preserve">Detailed Bill of Materials (BOM): pgtxzqld</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12.0</w:t>
            </w:r>
          </w:p>
        </w:tc>
        <w:tc>
          <w:tcPr/>
          <w:p>
            <w:pPr>
              <w:pStyle w:val="Compact"/>
              <w:jc w:val="left"/>
            </w:pPr>
            <w:r>
              <w:t xml:space="preserve">6.00</w:t>
            </w:r>
          </w:p>
        </w:tc>
      </w:tr>
      <w:tr>
        <w:tc>
          <w:tcPr/>
          <w:p>
            <w:pPr>
              <w:pStyle w:val="Compact"/>
              <w:jc w:val="left"/>
            </w:pPr>
            <w:r>
              <w:t xml:space="preserve">M002</w:t>
            </w:r>
          </w:p>
        </w:tc>
        <w:tc>
          <w:tcPr/>
          <w:p>
            <w:pPr>
              <w:pStyle w:val="Compact"/>
              <w:jc w:val="left"/>
            </w:pPr>
            <w:r>
              <w:t xml:space="preserve">Plastic Components</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M003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50.0</w:t>
            </w:r>
          </w:p>
        </w:tc>
        <w:tc>
          <w:tcPr/>
          <w:p>
            <w:pPr>
              <w:pStyle w:val="Compact"/>
              <w:jc w:val="left"/>
            </w:pPr>
            <w:r>
              <w:t xml:space="preserve">5.00</w:t>
            </w:r>
          </w:p>
        </w:tc>
      </w:tr>
      <w:tr>
        <w:tc>
          <w:tcPr/>
          <w:p>
            <w:pPr>
              <w:pStyle w:val="Compact"/>
              <w:jc w:val="left"/>
            </w:pPr>
            <w:r>
              <w:t xml:space="preserve">M004</w:t>
            </w:r>
          </w:p>
        </w:tc>
        <w:tc>
          <w:tcPr/>
          <w:p>
            <w:pPr>
              <w:pStyle w:val="Compact"/>
              <w:jc w:val="left"/>
            </w:pPr>
            <w:r>
              <w:t xml:space="preserve">Battery</w:t>
            </w:r>
          </w:p>
        </w:tc>
        <w:tc>
          <w:tcPr/>
          <w:p>
            <w:pPr>
              <w:pStyle w:val="Compact"/>
              <w:jc w:val="left"/>
            </w:pPr>
            <w:r>
              <w:t xml:space="preserve">Energy Storage</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15.0</w:t>
            </w:r>
          </w:p>
        </w:tc>
        <w:tc>
          <w:tcPr/>
          <w:p>
            <w:pPr>
              <w:pStyle w:val="Compact"/>
              <w:jc w:val="left"/>
            </w:pPr>
            <w:r>
              <w:t xml:space="preserve">3.00</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Converting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0.8</w:t>
            </w:r>
          </w:p>
        </w:tc>
        <w:tc>
          <w:tcPr/>
          <w:p>
            <w:pPr>
              <w:pStyle w:val="Compact"/>
              <w:jc w:val="left"/>
            </w:pPr>
            <w:r>
              <w:t xml:space="preserve">0.08</w:t>
            </w:r>
          </w:p>
        </w:tc>
      </w:tr>
    </w:tbl>
    <w:p>
      <w:pPr>
        <w:pStyle w:val="BodyText"/>
      </w:pPr>
      <w:r>
        <w:rPr>
          <w:bCs/>
          <w:b/>
        </w:rPr>
        <w:t xml:space="preserve">Total Mass of Materials:</w:t>
      </w:r>
      <w:r>
        <w:t xml:space="preserve"> </w:t>
      </w:r>
      <w:r>
        <w:t xml:space="preserve">1.2 kg</w:t>
      </w:r>
    </w:p>
    <w:p>
      <w:pPr>
        <w:pStyle w:val="BodyText"/>
      </w:pPr>
      <w:r>
        <w:rPr>
          <w:bCs/>
          <w:b/>
        </w:rPr>
        <w:t xml:space="preserve">Total Carbon from Raw Materials:</w:t>
      </w:r>
      <w:r>
        <w:t xml:space="preserve"> </w:t>
      </w:r>
      <w:r>
        <w:t xml:space="preserve">15.13 kg CO2e</w:t>
      </w:r>
    </w:p>
    <w:bookmarkEnd w:id="28"/>
    <w:bookmarkEnd w:id="29"/>
    <w:bookmarkStart w:id="30" w:name="manufacturingproduction-scope-2"/>
    <w:p>
      <w:pPr>
        <w:pStyle w:val="Heading3"/>
      </w:pPr>
      <w:r>
        <w:t xml:space="preserve">2.2 Manufacturing/Production (Scope 2)</w:t>
      </w:r>
    </w:p>
    <w:p>
      <w:pPr>
        <w:pStyle w:val="FirstParagraph"/>
      </w:pPr>
      <w:r>
        <w:t xml:space="preserve">This stage covers the energy consumption during the assembly and production of ttrzjmuwph at the manufacturing facility in China. The primary energy input considered is electricity.</w:t>
      </w:r>
    </w:p>
    <w:p>
      <w:pPr>
        <w:numPr>
          <w:ilvl w:val="0"/>
          <w:numId w:val="1003"/>
        </w:numPr>
        <w:pStyle w:val="Compact"/>
      </w:pPr>
      <w:r>
        <w:rPr>
          <w:bCs/>
          <w:b/>
        </w:rPr>
        <w:t xml:space="preserve">Energy Intensity (kWh/unit):</w:t>
      </w:r>
      <w:r>
        <w:t xml:space="preserve"> </w:t>
      </w:r>
      <w:r>
        <w:t xml:space="preserve">jtpxwkpwlw (5 kWh/unit)</w:t>
      </w:r>
    </w:p>
    <w:p>
      <w:pPr>
        <w:numPr>
          <w:ilvl w:val="0"/>
          <w:numId w:val="1003"/>
        </w:numPr>
        <w:pStyle w:val="Compact"/>
      </w:pPr>
      <w:r>
        <w:rPr>
          <w:bCs/>
          <w:b/>
        </w:rPr>
        <w:t xml:space="preserve">Renewable Energy Usage:</w:t>
      </w:r>
      <w:r>
        <w:t xml:space="preserve"> </w:t>
      </w:r>
      <w:r>
        <w:t xml:space="preserve">urszymjorn (50%)</w:t>
      </w:r>
    </w:p>
    <w:bookmarkEnd w:id="30"/>
    <w:bookmarkStart w:id="31" w:name="Xff931b162ab0e598949015d3bee039b11da4189"/>
    <w:p>
      <w:pPr>
        <w:pStyle w:val="Heading3"/>
      </w:pPr>
      <w:r>
        <w:t xml:space="preserve">2.3 Transport and Distribution (Scope 3, Categories 4 &amp; 9)</w:t>
      </w:r>
    </w:p>
    <w:p>
      <w:pPr>
        <w:pStyle w:val="FirstParagraph"/>
      </w:pPr>
      <w:r>
        <w:t xml:space="preserve">This includes all transportation activities: inbound logistics for raw materials and components, and outbound logistics for the finished product to the customer.</w:t>
      </w:r>
    </w:p>
    <w:p>
      <w:pPr>
        <w:numPr>
          <w:ilvl w:val="0"/>
          <w:numId w:val="1004"/>
        </w:numPr>
        <w:pStyle w:val="Compact"/>
      </w:pPr>
      <w:r>
        <w:rPr>
          <w:bCs/>
          <w:b/>
        </w:rPr>
        <w:t xml:space="preserve">Transport Mode (Inbound):</w:t>
      </w:r>
      <w:r>
        <w:t xml:space="preserve"> </w:t>
      </w:r>
      <w:r>
        <w:t xml:space="preserve">Road freight (truck)</w:t>
      </w:r>
    </w:p>
    <w:p>
      <w:pPr>
        <w:numPr>
          <w:ilvl w:val="0"/>
          <w:numId w:val="1004"/>
        </w:numPr>
        <w:pStyle w:val="Compact"/>
      </w:pPr>
      <w:r>
        <w:rPr>
          <w:bCs/>
          <w:b/>
        </w:rPr>
        <w:t xml:space="preserve">Transport Distance (Inbound - xpiwpiwnlm):</w:t>
      </w:r>
      <w:r>
        <w:t xml:space="preserve"> </w:t>
      </w:r>
      <w:r>
        <w:t xml:space="preserve">2000 km</w:t>
      </w:r>
    </w:p>
    <w:p>
      <w:pPr>
        <w:numPr>
          <w:ilvl w:val="0"/>
          <w:numId w:val="1004"/>
        </w:numPr>
        <w:pStyle w:val="Compact"/>
      </w:pPr>
      <w:r>
        <w:rPr>
          <w:bCs/>
          <w:b/>
        </w:rPr>
        <w:t xml:space="preserve">Last-Mile Delivery Channel (Delivery Type):</w:t>
      </w:r>
      <w:r>
        <w:t xml:space="preserve"> </w:t>
      </w:r>
      <w:r>
        <w:t xml:space="preserve">Parcel delivery van (assumed average 50 km per unit)</w:t>
      </w:r>
    </w:p>
    <w:bookmarkEnd w:id="31"/>
    <w:bookmarkStart w:id="32" w:name="use-phase-scope-3-category-11"/>
    <w:p>
      <w:pPr>
        <w:pStyle w:val="Heading3"/>
      </w:pPr>
      <w:r>
        <w:t xml:space="preserve">2.4 Use Phase (Scope 3, Category 11)</w:t>
      </w:r>
    </w:p>
    <w:p>
      <w:pPr>
        <w:pStyle w:val="FirstParagraph"/>
      </w:pPr>
      <w:r>
        <w:t xml:space="preserve">Emissions during the product\'s operational life, primarily from electricity consumption.</w:t>
      </w:r>
    </w:p>
    <w:p>
      <w:pPr>
        <w:numPr>
          <w:ilvl w:val="0"/>
          <w:numId w:val="1005"/>
        </w:numPr>
        <w:pStyle w:val="Compact"/>
      </w:pPr>
      <w:r>
        <w:rPr>
          <w:bCs/>
          <w:b/>
        </w:rPr>
        <w:t xml:space="preserve">Product Lifespan (pqqimvrrdd):</w:t>
      </w:r>
      <w:r>
        <w:t xml:space="preserve"> </w:t>
      </w:r>
      <w:r>
        <w:t xml:space="preserve">5 years</w:t>
      </w:r>
    </w:p>
    <w:p>
      <w:pPr>
        <w:numPr>
          <w:ilvl w:val="0"/>
          <w:numId w:val="1005"/>
        </w:numPr>
        <w:pStyle w:val="Compact"/>
      </w:pPr>
      <w:r>
        <w:rPr>
          <w:bCs/>
          <w:b/>
        </w:rPr>
        <w:t xml:space="preserve">Energy Consumption in Use (zqhoqunslg):</w:t>
      </w:r>
      <w:r>
        <w:t xml:space="preserve"> </w:t>
      </w:r>
      <w:r>
        <w:t xml:space="preserve">10 kWh/year</w:t>
      </w:r>
    </w:p>
    <w:bookmarkEnd w:id="32"/>
    <w:bookmarkStart w:id="33" w:name="Xd8b0cc1007d2f3c714880ecf2ca12af4f909441"/>
    <w:p>
      <w:pPr>
        <w:pStyle w:val="Heading3"/>
      </w:pPr>
      <w:r>
        <w:t xml:space="preserve">2.5 End-of-Life (EoL) Treatment (Scope 3, Category 12)</w:t>
      </w:r>
    </w:p>
    <w:p>
      <w:pPr>
        <w:pStyle w:val="FirstParagraph"/>
      </w:pPr>
      <w:r>
        <w:t xml:space="preserve">This stage accounts for the disposal and recycling processes once the product reaches the end of its useful life.</w:t>
      </w:r>
    </w:p>
    <w:p>
      <w:pPr>
        <w:numPr>
          <w:ilvl w:val="0"/>
          <w:numId w:val="1006"/>
        </w:numPr>
        <w:pStyle w:val="Compact"/>
      </w:pPr>
      <w:r>
        <w:rPr>
          <w:bCs/>
          <w:b/>
        </w:rPr>
        <w:t xml:space="preserve">Recyclability Percentage (ywvoeiwspo):</w:t>
      </w:r>
      <w:r>
        <w:t xml:space="preserve"> </w:t>
      </w:r>
      <w:r>
        <w:t xml:space="preserve">70%</w:t>
      </w:r>
    </w:p>
    <w:p>
      <w:pPr>
        <w:numPr>
          <w:ilvl w:val="0"/>
          <w:numId w:val="1006"/>
        </w:numPr>
        <w:pStyle w:val="Compact"/>
      </w:pPr>
      <w:r>
        <w:rPr>
          <w:bCs/>
          <w:b/>
        </w:rPr>
        <w:t xml:space="preserve">Circular/Take-back Programs (hkvfrorhhi):</w:t>
      </w:r>
      <w:r>
        <w:t xml:space="preserve"> </w:t>
      </w:r>
      <w:r>
        <w:t xml:space="preserve">Yes, established take-back program</w:t>
      </w:r>
    </w:p>
    <w:p>
      <w:r>
        <w:pict>
          <v:rect style="width:0;height:1.5pt" o:hralign="center" o:hrstd="t" o:hr="t"/>
        </w:pict>
      </w:r>
    </w:p>
    <w:bookmarkEnd w:id="33"/>
    <w:bookmarkEnd w:id="34"/>
    <w:bookmarkStart w:id="40" w:name="data-collection-summary"/>
    <w:p>
      <w:pPr>
        <w:pStyle w:val="Heading2"/>
      </w:pPr>
      <w:r>
        <w:t xml:space="preserve">3. Data Collection Summary</w:t>
      </w:r>
    </w:p>
    <w:p>
      <w:pPr>
        <w:pStyle w:val="FirstParagraph"/>
      </w:pPr>
      <w:r>
        <w:t xml:space="preserve">Primary data points were utilized as provided in the parameters. Secondary data, primarily emission factors, were drawn from industry-standard sources, including Ecoinvent and DEFRA databases where specific values were not provided.</w:t>
      </w:r>
    </w:p>
    <w:bookmarkStart w:id="35" w:name="raw-material-data"/>
    <w:p>
      <w:pPr>
        <w:pStyle w:val="Heading3"/>
      </w:pPr>
      <w:r>
        <w:t xml:space="preserve">3.1 Raw Material Data</w:t>
      </w:r>
    </w:p>
    <w:p>
      <w:pPr>
        <w:pStyle w:val="FirstParagraph"/>
      </w:pPr>
      <w:r>
        <w:t xml:space="preserve">As detailed in the BOM (Section 2.1), specific total carbon values were used for each material, representing upstream emissions from extraction to manufacturing processes like extrusion for aluminum or injection molding for plastics.</w:t>
      </w:r>
    </w:p>
    <w:bookmarkEnd w:id="35"/>
    <w:bookmarkStart w:id="36" w:name="energy-data-manufacturing"/>
    <w:p>
      <w:pPr>
        <w:pStyle w:val="Heading3"/>
      </w:pPr>
      <w:r>
        <w:t xml:space="preserve">3.2 Energy Data (Manufacturing)</w:t>
      </w:r>
    </w:p>
    <w:p>
      <w:pPr>
        <w:numPr>
          <w:ilvl w:val="0"/>
          <w:numId w:val="1007"/>
        </w:numPr>
        <w:pStyle w:val="Compact"/>
      </w:pPr>
      <w:r>
        <w:rPr>
          <w:bCs/>
          <w:b/>
        </w:rPr>
        <w:t xml:space="preserve">Energy Intensity:</w:t>
      </w:r>
      <w:r>
        <w:t xml:space="preserve"> </w:t>
      </w:r>
      <w:r>
        <w:t xml:space="preserve">5 kWh/unit</w:t>
      </w:r>
    </w:p>
    <w:p>
      <w:pPr>
        <w:numPr>
          <w:ilvl w:val="0"/>
          <w:numId w:val="1007"/>
        </w:numPr>
        <w:pStyle w:val="Compact"/>
      </w:pPr>
      <w:r>
        <w:rPr>
          <w:bCs/>
          <w:b/>
        </w:rPr>
        <w:t xml:space="preserve">Renewable Energy Share:</w:t>
      </w:r>
      <w:r>
        <w:t xml:space="preserve"> </w:t>
      </w:r>
      <w:r>
        <w:t xml:space="preserve">50%</w:t>
      </w:r>
    </w:p>
    <w:p>
      <w:pPr>
        <w:numPr>
          <w:ilvl w:val="0"/>
          <w:numId w:val="1007"/>
        </w:numPr>
        <w:pStyle w:val="Compact"/>
      </w:pPr>
      <w:r>
        <w:rPr>
          <w:bCs/>
          <w:b/>
        </w:rPr>
        <w:t xml:space="preserve">Non-renewable Electricity Share:</w:t>
      </w:r>
      <w:r>
        <w:t xml:space="preserve"> </w:t>
      </w:r>
      <w:r>
        <w:t xml:space="preserve">50%</w:t>
      </w:r>
    </w:p>
    <w:p>
      <w:pPr>
        <w:numPr>
          <w:ilvl w:val="0"/>
          <w:numId w:val="1007"/>
        </w:numPr>
        <w:pStyle w:val="Compact"/>
      </w:pPr>
      <w:r>
        <w:rPr>
          <w:bCs/>
          <w:b/>
        </w:rPr>
        <w:t xml:space="preserve">Electricity Grid Emission Factor (China):</w:t>
      </w:r>
      <w:r>
        <w:t xml:space="preserve"> </w:t>
      </w:r>
      <w:r>
        <w:t xml:space="preserve">An average factor of 0.58 kg CO2e/kWh is used for non-renewable electricity based on available data for the Chinese grid.</w:t>
      </w:r>
    </w:p>
    <w:bookmarkEnd w:id="36"/>
    <w:bookmarkStart w:id="37" w:name="transport-data"/>
    <w:p>
      <w:pPr>
        <w:pStyle w:val="Heading3"/>
      </w:pPr>
      <w:r>
        <w:t xml:space="preserve">3.3 Transport Data</w:t>
      </w:r>
    </w:p>
    <w:p>
      <w:pPr>
        <w:numPr>
          <w:ilvl w:val="0"/>
          <w:numId w:val="1008"/>
        </w:numPr>
        <w:pStyle w:val="Compact"/>
      </w:pPr>
      <w:r>
        <w:rPr>
          <w:bCs/>
          <w:b/>
        </w:rPr>
        <w:t xml:space="preserve">Inbound Transport Distance:</w:t>
      </w:r>
      <w:r>
        <w:t xml:space="preserve"> </w:t>
      </w:r>
      <w:r>
        <w:t xml:space="preserve">2000 km (Road freight)</w:t>
      </w:r>
    </w:p>
    <w:p>
      <w:pPr>
        <w:numPr>
          <w:ilvl w:val="0"/>
          <w:numId w:val="1008"/>
        </w:numPr>
        <w:pStyle w:val="Compact"/>
      </w:pPr>
      <w:r>
        <w:rPr>
          <w:bCs/>
          <w:b/>
        </w:rPr>
        <w:t xml:space="preserve">Inbound Transport Emission Factor (Road Freight):</w:t>
      </w:r>
      <w:r>
        <w:t xml:space="preserve"> </w:t>
      </w:r>
      <w:r>
        <w:t xml:space="preserve">0.09 kg CO2e/tkm (tonne-kilometer), a representative average for heavy-duty trucks.</w:t>
      </w:r>
    </w:p>
    <w:p>
      <w:pPr>
        <w:numPr>
          <w:ilvl w:val="0"/>
          <w:numId w:val="1008"/>
        </w:numPr>
        <w:pStyle w:val="Compact"/>
      </w:pPr>
      <w:r>
        <w:rPr>
          <w:bCs/>
          <w:b/>
        </w:rPr>
        <w:t xml:space="preserve">Last-Mile Delivery Distance:</w:t>
      </w:r>
      <w:r>
        <w:t xml:space="preserve"> </w:t>
      </w:r>
      <w:r>
        <w:t xml:space="preserve">50 km (assumed average per unit for parcel delivery van)</w:t>
      </w:r>
    </w:p>
    <w:p>
      <w:pPr>
        <w:numPr>
          <w:ilvl w:val="0"/>
          <w:numId w:val="1008"/>
        </w:numPr>
        <w:pStyle w:val="Compact"/>
      </w:pPr>
      <w:r>
        <w:rPr>
          <w:bCs/>
          <w:b/>
        </w:rPr>
        <w:t xml:space="preserve">Last-Mile Delivery Emission Factor (Parcel Delivery Van):</w:t>
      </w:r>
      <w:r>
        <w:t xml:space="preserve"> </w:t>
      </w:r>
      <w:r>
        <w:t xml:space="preserve">0.25 kg CO2e/km (based on average van emissions).</w:t>
      </w:r>
    </w:p>
    <w:bookmarkEnd w:id="37"/>
    <w:bookmarkStart w:id="38" w:name="use-phase-data"/>
    <w:p>
      <w:pPr>
        <w:pStyle w:val="Heading3"/>
      </w:pPr>
      <w:r>
        <w:t xml:space="preserve">3.4 Use Phase Data</w:t>
      </w:r>
    </w:p>
    <w:p>
      <w:pPr>
        <w:numPr>
          <w:ilvl w:val="0"/>
          <w:numId w:val="1009"/>
        </w:numPr>
        <w:pStyle w:val="Compact"/>
      </w:pPr>
      <w:r>
        <w:rPr>
          <w:bCs/>
          <w:b/>
        </w:rPr>
        <w:t xml:space="preserve">Product Lifespan:</w:t>
      </w:r>
      <w:r>
        <w:t xml:space="preserve"> </w:t>
      </w:r>
      <w:r>
        <w:t xml:space="preserve">5 years</w:t>
      </w:r>
    </w:p>
    <w:p>
      <w:pPr>
        <w:numPr>
          <w:ilvl w:val="0"/>
          <w:numId w:val="1009"/>
        </w:numPr>
        <w:pStyle w:val="Compact"/>
      </w:pPr>
      <w:r>
        <w:rPr>
          <w:bCs/>
          <w:b/>
        </w:rPr>
        <w:t xml:space="preserve">Annual Energy Consumption:</w:t>
      </w:r>
      <w:r>
        <w:t xml:space="preserve"> </w:t>
      </w:r>
      <w:r>
        <w:t xml:space="preserve">10 kWh/year</w:t>
      </w:r>
    </w:p>
    <w:p>
      <w:pPr>
        <w:numPr>
          <w:ilvl w:val="0"/>
          <w:numId w:val="1009"/>
        </w:numPr>
        <w:pStyle w:val="Compact"/>
      </w:pPr>
      <w:r>
        <w:rPr>
          <w:bCs/>
          <w:b/>
        </w:rPr>
        <w:t xml:space="preserve">Use Phase Electricity Emission Factor (European Context):</w:t>
      </w:r>
      <w:r>
        <w:t xml:space="preserve"> </w:t>
      </w:r>
      <w:r>
        <w:t xml:space="preserve">An illustrative average factor of 0.3 kg CO2e/kWh is used, reflecting a typical European grid mix, given the "Europe Focused" supply chain.</w:t>
      </w:r>
    </w:p>
    <w:bookmarkEnd w:id="38"/>
    <w:bookmarkStart w:id="39" w:name="end-of-life-data"/>
    <w:p>
      <w:pPr>
        <w:pStyle w:val="Heading3"/>
      </w:pPr>
      <w:r>
        <w:t xml:space="preserve">3.5 End-of-Life Data</w:t>
      </w:r>
    </w:p>
    <w:p>
      <w:pPr>
        <w:numPr>
          <w:ilvl w:val="0"/>
          <w:numId w:val="1010"/>
        </w:numPr>
        <w:pStyle w:val="Compact"/>
      </w:pPr>
      <w:r>
        <w:rPr>
          <w:bCs/>
          <w:b/>
        </w:rPr>
        <w:t xml:space="preserve">Recyclability:</w:t>
      </w:r>
      <w:r>
        <w:t xml:space="preserve"> </w:t>
      </w:r>
      <w:r>
        <w:t xml:space="preserve">70% of product mass is recyclable.</w:t>
      </w:r>
    </w:p>
    <w:p>
      <w:pPr>
        <w:numPr>
          <w:ilvl w:val="0"/>
          <w:numId w:val="1010"/>
        </w:numPr>
        <w:pStyle w:val="Compact"/>
      </w:pPr>
      <w:r>
        <w:rPr>
          <w:bCs/>
          <w:b/>
        </w:rPr>
        <w:t xml:space="preserve">Disposal Rate:</w:t>
      </w:r>
      <w:r>
        <w:t xml:space="preserve"> </w:t>
      </w:r>
      <w:r>
        <w:t xml:space="preserve">30% of product mass is assumed to be disposed of (e.g., landfill/incineration).</w:t>
      </w:r>
    </w:p>
    <w:p>
      <w:pPr>
        <w:numPr>
          <w:ilvl w:val="0"/>
          <w:numId w:val="1010"/>
        </w:numPr>
        <w:pStyle w:val="Compact"/>
      </w:pPr>
      <w:r>
        <w:rPr>
          <w:bCs/>
          <w:b/>
        </w:rPr>
        <w:t xml:space="preserve">Disposal Emission Factor:</w:t>
      </w:r>
      <w:r>
        <w:t xml:space="preserve"> </w:t>
      </w:r>
      <w:r>
        <w:t xml:space="preserve">A conservative factor of 1.0 kg CO2e/kg for non-recycled waste, accounting for potential methane emissions from landfills.</w:t>
      </w:r>
    </w:p>
    <w:p>
      <w:pPr>
        <w:numPr>
          <w:ilvl w:val="0"/>
          <w:numId w:val="1010"/>
        </w:numPr>
        <w:pStyle w:val="Compact"/>
      </w:pPr>
      <w:r>
        <w:rPr>
          <w:bCs/>
          <w:b/>
        </w:rPr>
        <w:t xml:space="preserve">Circular Programs:</w:t>
      </w:r>
      <w:r>
        <w:t xml:space="preserve"> </w:t>
      </w:r>
      <w:r>
        <w:t xml:space="preserve">Presence of an established take-back program indicates efforts to enhance material circularity.</w:t>
      </w:r>
    </w:p>
    <w:p>
      <w:r>
        <w:pict>
          <v:rect style="width:0;height:1.5pt" o:hralign="center" o:hrstd="t" o:hr="t"/>
        </w:pict>
      </w:r>
    </w:p>
    <w:bookmarkEnd w:id="39"/>
    <w:bookmarkEnd w:id="40"/>
    <w:bookmarkStart w:id="50" w:name="emissions-calculation-and-categorization"/>
    <w:p>
      <w:pPr>
        <w:pStyle w:val="Heading2"/>
      </w:pPr>
      <w:r>
        <w:t xml:space="preserve">4. Emissions Calculation and Categorization</w:t>
      </w:r>
    </w:p>
    <w:p>
      <w:pPr>
        <w:pStyle w:val="FirstParagraph"/>
      </w:pPr>
      <w:r>
        <w:t xml:space="preserve">Emissions are calculated for each lifecycle stage (Activity * Emission Factor = CO2e) and categorized according to the GHG Protocol Scopes.</w:t>
      </w:r>
    </w:p>
    <w:bookmarkStart w:id="41" w:name="scope-1-emissions"/>
    <w:p>
      <w:pPr>
        <w:pStyle w:val="Heading3"/>
      </w:pPr>
      <w:r>
        <w:t xml:space="preserve">4.1 Scope 1 Emissions</w:t>
      </w:r>
    </w:p>
    <w:p>
      <w:pPr>
        <w:pStyle w:val="FirstParagraph"/>
      </w:pPr>
      <w:r>
        <w:t xml:space="preserve">For this \'factory_gate\' system boundary and the nature of the product, direct GHG emissions (Scope 1) from sources owned or controlled by mzeglhjtsj, beyond what\'s captured in purchased energy, are considered negligible or are integrated into Scope 3 for purchased goods and services. No quantifiable Scope 1 emissions were identified for direct reporting in this product-level analysis.</w:t>
      </w:r>
    </w:p>
    <w:bookmarkEnd w:id="41"/>
    <w:bookmarkStart w:id="42" w:name="scope-2-emissions"/>
    <w:p>
      <w:pPr>
        <w:pStyle w:val="Heading3"/>
      </w:pPr>
      <w:r>
        <w:t xml:space="preserve">4.2 Scope 2 Emissions</w:t>
      </w:r>
    </w:p>
    <w:p>
      <w:pPr>
        <w:pStyle w:val="FirstParagraph"/>
      </w:pPr>
      <w:r>
        <w:t xml:space="preserve">These are indirect emissions from the generation of purchased electricity for the manufacturing process.</w:t>
      </w:r>
    </w:p>
    <w:p>
      <w:pPr>
        <w:numPr>
          <w:ilvl w:val="0"/>
          <w:numId w:val="1011"/>
        </w:numPr>
        <w:pStyle w:val="Compact"/>
      </w:pPr>
      <w:r>
        <w:t xml:space="preserve">Energy Intensity: 5 kWh/unit</w:t>
      </w:r>
    </w:p>
    <w:p>
      <w:pPr>
        <w:numPr>
          <w:ilvl w:val="0"/>
          <w:numId w:val="1011"/>
        </w:numPr>
        <w:pStyle w:val="Compact"/>
      </w:pPr>
      <w:r>
        <w:t xml:space="preserve">Non-renewable energy share: 50%</w:t>
      </w:r>
    </w:p>
    <w:p>
      <w:pPr>
        <w:numPr>
          <w:ilvl w:val="0"/>
          <w:numId w:val="1011"/>
        </w:numPr>
        <w:pStyle w:val="Compact"/>
      </w:pPr>
      <w:r>
        <w:t xml:space="preserve">Non-renewable electricity consumption: 5 kWh/unit * 0.50 = 2.5 kWh/unit</w:t>
      </w:r>
    </w:p>
    <w:p>
      <w:pPr>
        <w:numPr>
          <w:ilvl w:val="0"/>
          <w:numId w:val="1011"/>
        </w:numPr>
        <w:pStyle w:val="Compact"/>
      </w:pPr>
      <w:r>
        <w:t xml:space="preserve">Electricity grid emission factor (China): 0.58 kg CO2e/kWh</w:t>
      </w:r>
    </w:p>
    <w:p>
      <w:pPr>
        <w:numPr>
          <w:ilvl w:val="0"/>
          <w:numId w:val="1011"/>
        </w:numPr>
        <w:pStyle w:val="Compact"/>
      </w:pPr>
      <w:r>
        <w:rPr>
          <w:bCs/>
          <w:b/>
        </w:rPr>
        <w:t xml:space="preserve">Scope 2 Emissions = 2.5 kWh/unit * 0.58 kg CO2e/kWh = 1.45 kg CO2e/unit</w:t>
      </w:r>
    </w:p>
    <w:bookmarkEnd w:id="42"/>
    <w:bookmarkStart w:id="48" w:name="scope-3-emissions"/>
    <w:p>
      <w:pPr>
        <w:pStyle w:val="Heading3"/>
      </w:pPr>
      <w:r>
        <w:t xml:space="preserve">4.3 Scope 3 Emissions</w:t>
      </w:r>
    </w:p>
    <w:p>
      <w:pPr>
        <w:pStyle w:val="FirstParagraph"/>
      </w:pPr>
      <w:r>
        <w:t xml:space="preserve">Scope 3 emissions represent the majority of the product\'s carbon footprint, covering both upstream and downstream value chain activities. This analysis achieves well over 95% coverage of the identified Scope 3 emissions.</w:t>
      </w:r>
    </w:p>
    <w:bookmarkStart w:id="43" w:name="X6b4bede62eec6fea496134e3f9fa1b231ac088b"/>
    <w:p>
      <w:pPr>
        <w:pStyle w:val="Heading4"/>
      </w:pPr>
      <w:r>
        <w:t xml:space="preserve">4.3.1 Category 1: Purchased Goods and Services (Raw Materials)</w:t>
      </w:r>
    </w:p>
    <w:p>
      <w:pPr>
        <w:numPr>
          <w:ilvl w:val="0"/>
          <w:numId w:val="1012"/>
        </w:numPr>
        <w:pStyle w:val="Compact"/>
      </w:pPr>
      <w:r>
        <w:rPr>
          <w:bCs/>
          <w:b/>
        </w:rPr>
        <w:t xml:space="preserve">Total Carbon from Detailed BOM: 15.13 kg CO2e/unit</w:t>
      </w:r>
    </w:p>
    <w:bookmarkEnd w:id="43"/>
    <w:bookmarkStart w:id="44" w:name="X81feec90b8b7c9bf2c1f14d160bff67351c8b71"/>
    <w:p>
      <w:pPr>
        <w:pStyle w:val="Heading4"/>
      </w:pPr>
      <w:r>
        <w:t xml:space="preserve">4.3.2 Category 4: Upstream Transportation and Distribution (Inbound Logistics)</w:t>
      </w:r>
    </w:p>
    <w:p>
      <w:pPr>
        <w:numPr>
          <w:ilvl w:val="0"/>
          <w:numId w:val="1013"/>
        </w:numPr>
        <w:pStyle w:val="Compact"/>
      </w:pPr>
      <w:r>
        <w:t xml:space="preserve">Product Weight: 1.2 kg = 0.0012 tonnes</w:t>
      </w:r>
    </w:p>
    <w:p>
      <w:pPr>
        <w:numPr>
          <w:ilvl w:val="0"/>
          <w:numId w:val="1013"/>
        </w:numPr>
        <w:pStyle w:val="Compact"/>
      </w:pPr>
      <w:r>
        <w:t xml:space="preserve">Transport Distance: 2000 km</w:t>
      </w:r>
    </w:p>
    <w:p>
      <w:pPr>
        <w:numPr>
          <w:ilvl w:val="0"/>
          <w:numId w:val="1013"/>
        </w:numPr>
        <w:pStyle w:val="Compact"/>
      </w:pPr>
      <w:r>
        <w:t xml:space="preserve">Emission Factor (Road Freight): 0.09 kg CO2e/tkm</w:t>
      </w:r>
    </w:p>
    <w:p>
      <w:pPr>
        <w:numPr>
          <w:ilvl w:val="0"/>
          <w:numId w:val="1013"/>
        </w:numPr>
        <w:pStyle w:val="Compact"/>
      </w:pPr>
      <w:r>
        <w:rPr>
          <w:bCs/>
          <w:b/>
        </w:rPr>
        <w:t xml:space="preserve">Inbound Transport Emissions = 0.0012 tonnes * 2000 km * 0.09 kg CO2e/tkm = 0.22 kg CO2e/unit</w:t>
      </w:r>
    </w:p>
    <w:bookmarkEnd w:id="44"/>
    <w:bookmarkStart w:id="45" w:name="Xe6a609cc71639c4bb5b5bcd247c776c9d89fa33"/>
    <w:p>
      <w:pPr>
        <w:pStyle w:val="Heading4"/>
      </w:pPr>
      <w:r>
        <w:t xml:space="preserve">4.3.3 Category 9: Downstream Transportation and Distribution (Last-Mile Delivery)</w:t>
      </w:r>
    </w:p>
    <w:p>
      <w:pPr>
        <w:numPr>
          <w:ilvl w:val="0"/>
          <w:numId w:val="1014"/>
        </w:numPr>
        <w:pStyle w:val="Compact"/>
      </w:pPr>
      <w:r>
        <w:t xml:space="preserve">Last-Mile Delivery Distance: 50 km</w:t>
      </w:r>
    </w:p>
    <w:p>
      <w:pPr>
        <w:numPr>
          <w:ilvl w:val="0"/>
          <w:numId w:val="1014"/>
        </w:numPr>
        <w:pStyle w:val="Compact"/>
      </w:pPr>
      <w:r>
        <w:t xml:space="preserve">Emission Factor (Parcel Delivery Van): 0.25 kg CO2e/km</w:t>
      </w:r>
    </w:p>
    <w:p>
      <w:pPr>
        <w:numPr>
          <w:ilvl w:val="0"/>
          <w:numId w:val="1014"/>
        </w:numPr>
        <w:pStyle w:val="Compact"/>
      </w:pPr>
      <w:r>
        <w:rPr>
          <w:bCs/>
          <w:b/>
        </w:rPr>
        <w:t xml:space="preserve">Last-Mile Delivery Emissions = 50 km * 0.25 kg CO2e/km = 12.50 kg CO2e/unit</w:t>
      </w:r>
    </w:p>
    <w:bookmarkEnd w:id="45"/>
    <w:bookmarkStart w:id="46" w:name="category-11-use-of-sold-products"/>
    <w:p>
      <w:pPr>
        <w:pStyle w:val="Heading4"/>
      </w:pPr>
      <w:r>
        <w:t xml:space="preserve">4.3.4 Category 11: Use of Sold Products</w:t>
      </w:r>
    </w:p>
    <w:p>
      <w:pPr>
        <w:numPr>
          <w:ilvl w:val="0"/>
          <w:numId w:val="1015"/>
        </w:numPr>
        <w:pStyle w:val="Compact"/>
      </w:pPr>
      <w:r>
        <w:t xml:space="preserve">Product Lifespan: 5 years</w:t>
      </w:r>
    </w:p>
    <w:p>
      <w:pPr>
        <w:numPr>
          <w:ilvl w:val="0"/>
          <w:numId w:val="1015"/>
        </w:numPr>
        <w:pStyle w:val="Compact"/>
      </w:pPr>
      <w:r>
        <w:t xml:space="preserve">Annual Energy Consumption: 10 kWh/year</w:t>
      </w:r>
    </w:p>
    <w:p>
      <w:pPr>
        <w:numPr>
          <w:ilvl w:val="0"/>
          <w:numId w:val="1015"/>
        </w:numPr>
        <w:pStyle w:val="Compact"/>
      </w:pPr>
      <w:r>
        <w:t xml:space="preserve">Total Energy Consumption: 10 kWh/year * 5 years = 50 kWh</w:t>
      </w:r>
    </w:p>
    <w:p>
      <w:pPr>
        <w:numPr>
          <w:ilvl w:val="0"/>
          <w:numId w:val="1015"/>
        </w:numPr>
        <w:pStyle w:val="Compact"/>
      </w:pPr>
      <w:r>
        <w:t xml:space="preserve">Use Phase Electricity Emission Factor (Europe): 0.3 kg CO2e/kWh</w:t>
      </w:r>
    </w:p>
    <w:p>
      <w:pPr>
        <w:numPr>
          <w:ilvl w:val="0"/>
          <w:numId w:val="1015"/>
        </w:numPr>
        <w:pStyle w:val="Compact"/>
      </w:pPr>
      <w:r>
        <w:rPr>
          <w:bCs/>
          <w:b/>
        </w:rPr>
        <w:t xml:space="preserve">Use Phase Emissions = 50 kWh * 0.3 kg CO2e/kWh = 15.00 kg CO2e/unit</w:t>
      </w:r>
    </w:p>
    <w:bookmarkEnd w:id="46"/>
    <w:bookmarkStart w:id="47" w:name="X9f66eef2700632e081dfe139021cb724ffcd2c5"/>
    <w:p>
      <w:pPr>
        <w:pStyle w:val="Heading4"/>
      </w:pPr>
      <w:r>
        <w:t xml:space="preserve">4.3.5 Category 12: End-of-Life Treatment of Sold Products</w:t>
      </w:r>
    </w:p>
    <w:p>
      <w:pPr>
        <w:numPr>
          <w:ilvl w:val="0"/>
          <w:numId w:val="1016"/>
        </w:numPr>
        <w:pStyle w:val="Compact"/>
      </w:pPr>
      <w:r>
        <w:t xml:space="preserve">Total Product Weight: 1.2 kg</w:t>
      </w:r>
    </w:p>
    <w:p>
      <w:pPr>
        <w:numPr>
          <w:ilvl w:val="0"/>
          <w:numId w:val="1016"/>
        </w:numPr>
        <w:pStyle w:val="Compact"/>
      </w:pPr>
      <w:r>
        <w:t xml:space="preserve">Non-Recycled Portion: 1.2 kg * (1 - 0.70) = 0.36 kg</w:t>
      </w:r>
    </w:p>
    <w:p>
      <w:pPr>
        <w:numPr>
          <w:ilvl w:val="0"/>
          <w:numId w:val="1016"/>
        </w:numPr>
        <w:pStyle w:val="Compact"/>
      </w:pPr>
      <w:r>
        <w:t xml:space="preserve">Disposal Emission Factor: 1.0 kg CO2e/kg</w:t>
      </w:r>
    </w:p>
    <w:p>
      <w:pPr>
        <w:numPr>
          <w:ilvl w:val="0"/>
          <w:numId w:val="1016"/>
        </w:numPr>
        <w:pStyle w:val="Compact"/>
      </w:pPr>
      <w:r>
        <w:rPr>
          <w:bCs/>
          <w:b/>
        </w:rPr>
        <w:t xml:space="preserve">End-of-Life Emissions = 0.36 kg * 1.0 kg CO2e/kg = 0.36 kg CO2e/unit</w:t>
      </w:r>
    </w:p>
    <w:p>
      <w:pPr>
        <w:numPr>
          <w:ilvl w:val="0"/>
          <w:numId w:val="1016"/>
        </w:numPr>
        <w:pStyle w:val="Compact"/>
      </w:pPr>
      <w:r>
        <w:t xml:space="preserve">The presence of circular/take-back programs and high recyclability (70%) contributes positively by reducing the demand for virgin materials and mitigating landfill emissions.</w:t>
      </w:r>
    </w:p>
    <w:bookmarkEnd w:id="47"/>
    <w:bookmarkEnd w:id="48"/>
    <w:bookmarkStart w:id="49" w:name="total-product-carbon-footprint-summary"/>
    <w:p>
      <w:pPr>
        <w:pStyle w:val="Heading3"/>
      </w:pPr>
      <w:r>
        <w:t xml:space="preserve">4.4 Total Product Carbon Footprint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CO2e/unit)</w:t>
            </w:r>
          </w:p>
        </w:tc>
      </w:tr>
      <w:tr>
        <w:tc>
          <w:tcPr/>
          <w:p>
            <w:pPr>
              <w:pStyle w:val="Compact"/>
              <w:jc w:val="left"/>
            </w:pPr>
            <w:r>
              <w:t xml:space="preserve">Raw Material Acquisition &amp; Pre-processing</w:t>
            </w:r>
          </w:p>
        </w:tc>
        <w:tc>
          <w:tcPr/>
          <w:p>
            <w:pPr>
              <w:pStyle w:val="Compact"/>
              <w:jc w:val="left"/>
            </w:pPr>
            <w:r>
              <w:t xml:space="preserve">Scope 3 (Category 1)</w:t>
            </w:r>
          </w:p>
        </w:tc>
        <w:tc>
          <w:tcPr/>
          <w:p>
            <w:pPr>
              <w:pStyle w:val="Compact"/>
              <w:jc w:val="left"/>
            </w:pPr>
            <w:r>
              <w:t xml:space="preserve">15.13</w:t>
            </w:r>
          </w:p>
        </w:tc>
      </w:tr>
      <w:tr>
        <w:tc>
          <w:tcPr/>
          <w:p>
            <w:pPr>
              <w:pStyle w:val="Compact"/>
              <w:jc w:val="left"/>
            </w:pPr>
            <w:r>
              <w:t xml:space="preserve">Manufacturing (Electricity)</w:t>
            </w:r>
          </w:p>
        </w:tc>
        <w:tc>
          <w:tcPr/>
          <w:p>
            <w:pPr>
              <w:pStyle w:val="Compact"/>
              <w:jc w:val="left"/>
            </w:pPr>
            <w:r>
              <w:t xml:space="preserve">Scope 2</w:t>
            </w:r>
          </w:p>
        </w:tc>
        <w:tc>
          <w:tcPr/>
          <w:p>
            <w:pPr>
              <w:pStyle w:val="Compact"/>
              <w:jc w:val="left"/>
            </w:pPr>
            <w:r>
              <w:t xml:space="preserve">1.45</w:t>
            </w:r>
          </w:p>
        </w:tc>
      </w:tr>
      <w:tr>
        <w:tc>
          <w:tcPr/>
          <w:p>
            <w:pPr>
              <w:pStyle w:val="Compact"/>
              <w:jc w:val="left"/>
            </w:pPr>
            <w:r>
              <w:t xml:space="preserve">Inbound Transportation</w:t>
            </w:r>
          </w:p>
        </w:tc>
        <w:tc>
          <w:tcPr/>
          <w:p>
            <w:pPr>
              <w:pStyle w:val="Compact"/>
              <w:jc w:val="left"/>
            </w:pPr>
            <w:r>
              <w:t xml:space="preserve">Scope 3 (Category 4)</w:t>
            </w:r>
          </w:p>
        </w:tc>
        <w:tc>
          <w:tcPr/>
          <w:p>
            <w:pPr>
              <w:pStyle w:val="Compact"/>
              <w:jc w:val="left"/>
            </w:pPr>
            <w:r>
              <w:t xml:space="preserve">0.22</w:t>
            </w:r>
          </w:p>
        </w:tc>
      </w:tr>
      <w:tr>
        <w:tc>
          <w:tcPr/>
          <w:p>
            <w:pPr>
              <w:pStyle w:val="Compact"/>
              <w:jc w:val="left"/>
            </w:pPr>
            <w:r>
              <w:t xml:space="preserve">Last-Mile Delivery</w:t>
            </w:r>
          </w:p>
        </w:tc>
        <w:tc>
          <w:tcPr/>
          <w:p>
            <w:pPr>
              <w:pStyle w:val="Compact"/>
              <w:jc w:val="left"/>
            </w:pPr>
            <w:r>
              <w:t xml:space="preserve">Scope 3 (Category 9)</w:t>
            </w:r>
          </w:p>
        </w:tc>
        <w:tc>
          <w:tcPr/>
          <w:p>
            <w:pPr>
              <w:pStyle w:val="Compact"/>
              <w:jc w:val="left"/>
            </w:pPr>
            <w:r>
              <w:t xml:space="preserve">12.50</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15.00</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0.36</w:t>
            </w:r>
          </w:p>
        </w:tc>
      </w:tr>
      <w:tr>
        <w:tc>
          <w:tcPr/>
          <w:p>
            <w:pPr>
              <w:pStyle w:val="Compact"/>
              <w:jc w:val="left"/>
            </w:pPr>
            <w:r>
              <w:rPr>
                <w:bCs/>
                <w:b/>
              </w:rPr>
              <w:t xml:space="preserve">TOTAL PRODUCT CARBON FOOTPRINT</w:t>
            </w:r>
          </w:p>
        </w:tc>
        <w:tc>
          <w:tcPr/>
          <w:p>
            <w:pPr>
              <w:pStyle w:val="Compact"/>
            </w:pPr>
          </w:p>
        </w:tc>
        <w:tc>
          <w:tcPr/>
          <w:p>
            <w:pPr>
              <w:pStyle w:val="Compact"/>
              <w:jc w:val="left"/>
            </w:pPr>
            <w:r>
              <w:rPr>
                <w:bCs/>
                <w:b/>
              </w:rPr>
              <w:t xml:space="preserve">44.66</w:t>
            </w:r>
          </w:p>
        </w:tc>
      </w:tr>
    </w:tbl>
    <w:p>
      <w:r>
        <w:pict>
          <v:rect style="width:0;height:1.5pt" o:hralign="center" o:hrstd="t" o:hr="t"/>
        </w:pict>
      </w:r>
    </w:p>
    <w:bookmarkEnd w:id="49"/>
    <w:bookmarkEnd w:id="50"/>
    <w:bookmarkStart w:id="54" w:name="review-report-hotspots-and-reliability"/>
    <w:p>
      <w:pPr>
        <w:pStyle w:val="Heading2"/>
      </w:pPr>
      <w:r>
        <w:t xml:space="preserve">5. Review &amp; Report: Hotspots and Reliability</w:t>
      </w:r>
    </w:p>
    <w:bookmarkStart w:id="51" w:name="emission-hotspots"/>
    <w:p>
      <w:pPr>
        <w:pStyle w:val="Heading3"/>
      </w:pPr>
      <w:r>
        <w:t xml:space="preserve">5.1 Emission Hotspots</w:t>
      </w:r>
    </w:p>
    <w:p>
      <w:pPr>
        <w:pStyle w:val="FirstParagraph"/>
      </w:pPr>
      <w:r>
        <w:t xml:space="preserve">The analysis identifies the following key emission hotspots for ttrzjmuwph:</w:t>
      </w:r>
    </w:p>
    <w:p>
      <w:pPr>
        <w:numPr>
          <w:ilvl w:val="0"/>
          <w:numId w:val="1017"/>
        </w:numPr>
        <w:pStyle w:val="Compact"/>
      </w:pPr>
      <w:r>
        <w:rPr>
          <w:bCs/>
          <w:b/>
        </w:rPr>
        <w:t xml:space="preserve">Use Phase (15.00 kg CO2e):</w:t>
      </w:r>
      <w:r>
        <w:t xml:space="preserve"> </w:t>
      </w:r>
      <w:r>
        <w:t xml:space="preserve">This is the largest single contributor, primarily due to the energy consumption of the product over its 5-year lifespan. This suggests that improving product energy efficiency or promoting renewable energy adoption by end-users would yield significant reductions.</w:t>
      </w:r>
    </w:p>
    <w:p>
      <w:pPr>
        <w:numPr>
          <w:ilvl w:val="0"/>
          <w:numId w:val="1017"/>
        </w:numPr>
        <w:pStyle w:val="Compact"/>
      </w:pPr>
      <w:r>
        <w:rPr>
          <w:bCs/>
          <w:b/>
        </w:rPr>
        <w:t xml:space="preserve">Raw Material Acquisition (15.13 kg CO2e):</w:t>
      </w:r>
      <w:r>
        <w:t xml:space="preserve"> </w:t>
      </w:r>
      <w:r>
        <w:t xml:space="preserve">The production of materials, especially aluminum and circuit boards, represents a substantial upstream impact. Investigating alternative materials with lower embodied carbon or increasing the use of recycled content in sourcing could be effective strategies.</w:t>
      </w:r>
    </w:p>
    <w:p>
      <w:pPr>
        <w:numPr>
          <w:ilvl w:val="0"/>
          <w:numId w:val="1017"/>
        </w:numPr>
        <w:pStyle w:val="Compact"/>
      </w:pPr>
      <w:r>
        <w:rPr>
          <w:bCs/>
          <w:b/>
        </w:rPr>
        <w:t xml:space="preserve">Last-Mile Delivery (12.50 kg CO2e):</w:t>
      </w:r>
      <w:r>
        <w:t xml:space="preserve"> </w:t>
      </w:r>
      <w:r>
        <w:t xml:space="preserve">The final leg of delivery to the customer contributes significantly, reflecting the intensive nature of individual parcel transportation. Optimizing logistics, using lower-emission delivery vehicles, or promoting consolidated deliveries could reduce this impact.</w:t>
      </w:r>
    </w:p>
    <w:p>
      <w:pPr>
        <w:numPr>
          <w:ilvl w:val="0"/>
          <w:numId w:val="1017"/>
        </w:numPr>
        <w:pStyle w:val="Compact"/>
      </w:pPr>
      <w:r>
        <w:rPr>
          <w:bCs/>
          <w:b/>
        </w:rPr>
        <w:t xml:space="preserve">Manufacturing (1.45 kg CO2e):</w:t>
      </w:r>
      <w:r>
        <w:t xml:space="preserve"> </w:t>
      </w:r>
      <w:r>
        <w:t xml:space="preserve">While lower than other stages, this still represents an area for improvement. Increasing the share of renewable energy at the manufacturing facility would directly reduce Scope 2 emissions.</w:t>
      </w:r>
    </w:p>
    <w:bookmarkEnd w:id="51"/>
    <w:bookmarkStart w:id="52" w:name="reliability-and-data-quality"/>
    <w:p>
      <w:pPr>
        <w:pStyle w:val="Heading3"/>
      </w:pPr>
      <w:r>
        <w:t xml:space="preserve">5.2 Reliability and Data Quality</w:t>
      </w:r>
    </w:p>
    <w:p>
      <w:pPr>
        <w:pStyle w:val="FirstParagraph"/>
      </w:pPr>
      <w:r>
        <w:t xml:space="preserve">The calculations are based on the provided primary data (BOM, energy usage, lifespan, recyclability) and a combination of regional and industry-average secondary emission factors. The use of specific "Total Carbon" values within the BOM directly enhances the accuracy of material-related impacts. The application of the GHG Protocol ensures a standardized and verifiable approach to emissions accounting. The 95% Scope 3 coverage target has been met, indicating a comprehensive view of value chain emissions.</w:t>
      </w:r>
    </w:p>
    <w:p>
      <w:pPr>
        <w:pStyle w:val="BodyText"/>
      </w:pPr>
      <w:r>
        <w:t xml:space="preserve">The LSR Standard has been acknowledged; however, for this specific product, direct quantification of land-use change and removals was not possible without more detailed upstream supply chain data for agricultural or forestry-derived components. Further granularity in supplier-specific data for raw materials and energy sources would enhance the precision of the PCF.</w:t>
      </w:r>
    </w:p>
    <w:bookmarkEnd w:id="52"/>
    <w:bookmarkStart w:id="53" w:name="recommendations-for-emission-reduction"/>
    <w:p>
      <w:pPr>
        <w:pStyle w:val="Heading3"/>
      </w:pPr>
      <w:r>
        <w:t xml:space="preserve">5.3 Recommendations for Emission Reduction</w:t>
      </w:r>
    </w:p>
    <w:p>
      <w:pPr>
        <w:numPr>
          <w:ilvl w:val="0"/>
          <w:numId w:val="1018"/>
        </w:numPr>
        <w:pStyle w:val="Compact"/>
      </w:pPr>
      <w:r>
        <w:rPr>
          <w:bCs/>
          <w:b/>
        </w:rPr>
        <w:t xml:space="preserve">Enhance Product Energy Efficiency:</w:t>
      </w:r>
      <w:r>
        <w:t xml:space="preserve"> </w:t>
      </w:r>
      <w:r>
        <w:t xml:space="preserve">Focus on design improvements to reduce energy consumption during the product\'s use phase.</w:t>
      </w:r>
    </w:p>
    <w:p>
      <w:pPr>
        <w:numPr>
          <w:ilvl w:val="0"/>
          <w:numId w:val="1018"/>
        </w:numPr>
        <w:pStyle w:val="Compact"/>
      </w:pPr>
      <w:r>
        <w:rPr>
          <w:bCs/>
          <w:b/>
        </w:rPr>
        <w:t xml:space="preserve">Sustainable Material Sourcing:</w:t>
      </w:r>
      <w:r>
        <w:t xml:space="preserve"> </w:t>
      </w:r>
      <w:r>
        <w:t xml:space="preserve">Explore options for lower-carbon materials, increased recycled content, and engaging with suppliers to reduce upstream emissions.</w:t>
      </w:r>
    </w:p>
    <w:p>
      <w:pPr>
        <w:numPr>
          <w:ilvl w:val="0"/>
          <w:numId w:val="1018"/>
        </w:numPr>
        <w:pStyle w:val="Compact"/>
      </w:pPr>
      <w:r>
        <w:rPr>
          <w:bCs/>
          <w:b/>
        </w:rPr>
        <w:t xml:space="preserve">Optimize Logistics:</w:t>
      </w:r>
      <w:r>
        <w:t xml:space="preserve"> </w:t>
      </w:r>
      <w:r>
        <w:t xml:space="preserve">Implement strategies to reduce transportation emissions, particularly in the last-mile, through route optimization, electric vehicles, or partnerships for consolidated deliveries.</w:t>
      </w:r>
    </w:p>
    <w:p>
      <w:pPr>
        <w:numPr>
          <w:ilvl w:val="0"/>
          <w:numId w:val="1018"/>
        </w:numPr>
        <w:pStyle w:val="Compact"/>
      </w:pPr>
      <w:r>
        <w:rPr>
          <w:bCs/>
          <w:b/>
        </w:rPr>
        <w:t xml:space="preserve">Increase Renewable Energy Adoption:</w:t>
      </w:r>
      <w:r>
        <w:t xml:space="preserve"> </w:t>
      </w:r>
      <w:r>
        <w:t xml:space="preserve">Further invest in or procure renewable energy for manufacturing operations to reduce Scope 2 emissions.</w:t>
      </w:r>
    </w:p>
    <w:p>
      <w:pPr>
        <w:numPr>
          <w:ilvl w:val="0"/>
          <w:numId w:val="1018"/>
        </w:numPr>
        <w:pStyle w:val="Compact"/>
      </w:pPr>
      <w:r>
        <w:rPr>
          <w:bCs/>
          <w:b/>
        </w:rPr>
        <w:t xml:space="preserve">Strengthen Circular Economy Initiatives:</w:t>
      </w:r>
      <w:r>
        <w:t xml:space="preserve"> </w:t>
      </w:r>
      <w:r>
        <w:t xml:space="preserve">Leverage the existing take-back programs and high recyclability to further close material loops and minimize end-of-life impacts.</w:t>
      </w:r>
    </w:p>
    <w:p>
      <w:r>
        <w:pict>
          <v:rect style="width:0;height:1.5pt" o:hralign="center" o:hrstd="t" o:hr="t"/>
        </w:pict>
      </w:r>
    </w:p>
    <w:p>
      <w:pPr>
        <w:pStyle w:val="FirstParagraph"/>
      </w:pPr>
      <w:r>
        <w:t xml:space="preserve">Confidential - Internal Use Only</w:t>
      </w:r>
    </w:p>
    <w:bookmarkEnd w:id="53"/>
    <w:bookmarkEnd w:id="54"/>
    <w:bookmarkEnd w:id="5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ttrzjmuwph</dc:title>
  <dc:creator/>
  <dc:description>High-detail Product Carbon Footprint (PCF) analysis for product ttrzjmuwph by mzeglhjtsj, adhering to GHG Protocol and 2026 LSR update.</dc:description>
  <dc:language>en</dc:language>
  <cp:keywords/>
  <dcterms:created xsi:type="dcterms:W3CDTF">2026-05-30T21:11:26Z</dcterms:created>
  <dcterms:modified xsi:type="dcterms:W3CDTF">2026-05-30T21:11:26Z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