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tsyinmhoqd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tsyinmhoqd</w:t>
      </w:r>
    </w:p>
    <w:p>
      <w:pPr>
        <w:pStyle w:val="BodyText"/>
      </w:pPr>
      <w:r>
        <w:rPr>
          <w:bCs/>
          <w:b/>
        </w:rPr>
        <w:t xml:space="preserve">Company Name:</w:t>
      </w:r>
      <w:r>
        <w:t xml:space="preserve"> </w:t>
      </w:r>
      <w:r>
        <w:t xml:space="preserve">updnjhrfrw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xunhthqfsn</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p>
      <w:pPr>
        <w:pStyle w:val="BodyText"/>
      </w:pPr>
      <w:r>
        <w:t xml:space="preserve">Generated Date: May 22, 2026</w:t>
      </w:r>
    </w:p>
    <w:bookmarkStart w:id="4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tsyinmhoqd</w:t>
      </w:r>
      <w:r>
        <w:t xml:space="preserve">, manufactured by</w:t>
      </w:r>
      <w:r>
        <w:t xml:space="preserve"> </w:t>
      </w:r>
      <w:r>
        <w:rPr>
          <w:bCs/>
          <w:b/>
        </w:rPr>
        <w:t xml:space="preserve">updnjhrfrw</w:t>
      </w:r>
      <w:r>
        <w:t xml:space="preserve">. Conducted by Senior Sustainability Consultant</w:t>
      </w:r>
      <w:r>
        <w:t xml:space="preserve"> </w:t>
      </w:r>
      <w:r>
        <w:rPr>
          <w:bCs/>
          <w:b/>
        </w:rPr>
        <w:t xml:space="preserve">xunhthqfsn</w:t>
      </w:r>
      <w:r>
        <w:t xml:space="preserve">, this assessment adheres strictly to the GHG Protocol, including the 2026 Land Sector and Removals (LSR) Standard update and ensuring at least 95% Scope 3 coverage. The analysis covers the entire product lifecycle from raw material acquisition to end-of-life, providing a comprehensive understanding of carbon emission hotspots and informing strategies for emissions reduction.</w:t>
      </w:r>
    </w:p>
    <w:p>
      <w:r>
        <w:pict>
          <v:rect style="width:0;height:1.5pt" o:hralign="center" o:hrstd="t" o:hr="t"/>
        </w:pict>
      </w:r>
    </w:p>
    <w:bookmarkStart w:id="21" w:name="introduction"/>
    <w:p>
      <w:pPr>
        <w:pStyle w:val="Heading2"/>
      </w:pPr>
      <w:r>
        <w:t xml:space="preserve">1. Introduction</w:t>
      </w:r>
    </w:p>
    <w:p>
      <w:pPr>
        <w:pStyle w:val="FirstParagraph"/>
      </w:pPr>
      <w:r>
        <w:t xml:space="preserve">The imperative for businesses to understand and mitigate their environmental impact has never been greater. A Product Carbon Footprint (PCF) analysis provides a quantifiable measure of the total greenhouse gas (GHG) emissions associated with a product throughout its entire lifecycle. This report details the PCF for</w:t>
      </w:r>
      <w:r>
        <w:t xml:space="preserve"> </w:t>
      </w:r>
      <w:r>
        <w:rPr>
          <w:bCs/>
          <w:b/>
        </w:rPr>
        <w:t xml:space="preserve">tsyinmhoqd</w:t>
      </w:r>
      <w:r>
        <w:t xml:space="preserve">, identifying key emission sources and contributing to</w:t>
      </w:r>
      <w:r>
        <w:t xml:space="preserve"> </w:t>
      </w:r>
      <w:r>
        <w:rPr>
          <w:bCs/>
          <w:b/>
        </w:rPr>
        <w:t xml:space="preserve">updnjhrfrw</w:t>
      </w:r>
      <w:r>
        <w:t xml:space="preserve">\'s sustainability objectives.</w:t>
      </w:r>
    </w:p>
    <w:bookmarkEnd w:id="21"/>
    <w:bookmarkStart w:id="25" w:name="methodology"/>
    <w:p>
      <w:pPr>
        <w:pStyle w:val="Heading2"/>
      </w:pPr>
      <w:r>
        <w:t xml:space="preserve">2. Methodology</w:t>
      </w:r>
    </w:p>
    <w:p>
      <w:pPr>
        <w:pStyle w:val="FirstParagraph"/>
      </w:pPr>
      <w:r>
        <w:t xml:space="preserve">The PCF analysis was performed in accordance with the GHG Protocol Product Standard, employing a structured five-step approach:</w:t>
      </w:r>
    </w:p>
    <w:p>
      <w:pPr>
        <w:numPr>
          <w:ilvl w:val="0"/>
          <w:numId w:val="1001"/>
        </w:numPr>
        <w:pStyle w:val="Compact"/>
      </w:pPr>
      <w:r>
        <w:rPr>
          <w:bCs/>
          <w:b/>
        </w:rPr>
        <w:t xml:space="preserve">Step 1: Define Scope</w:t>
      </w:r>
      <w:r>
        <w:t xml:space="preserve"> </w:t>
      </w:r>
      <w:r>
        <w:t xml:space="preserve">- Establishing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Identifying all relevant lifecycle stages and associated processes (Life Cycle Inventory - LCI).</w:t>
      </w:r>
    </w:p>
    <w:p>
      <w:pPr>
        <w:numPr>
          <w:ilvl w:val="0"/>
          <w:numId w:val="1001"/>
        </w:numPr>
        <w:pStyle w:val="Compact"/>
      </w:pPr>
      <w:r>
        <w:rPr>
          <w:bCs/>
          <w:b/>
        </w:rPr>
        <w:t xml:space="preserve">Step 3: Collect Data</w:t>
      </w:r>
      <w:r>
        <w:t xml:space="preserve"> </w:t>
      </w:r>
      <w:r>
        <w:t xml:space="preserve">- Gathering primary and secondary data points for each stage.</w:t>
      </w:r>
    </w:p>
    <w:p>
      <w:pPr>
        <w:numPr>
          <w:ilvl w:val="0"/>
          <w:numId w:val="1001"/>
        </w:numPr>
        <w:pStyle w:val="Compact"/>
      </w:pPr>
      <w:r>
        <w:rPr>
          <w:bCs/>
          <w:b/>
        </w:rPr>
        <w:t xml:space="preserve">Step 4: Calculate Emissions</w:t>
      </w:r>
      <w:r>
        <w:t xml:space="preserve"> </w:t>
      </w:r>
      <w:r>
        <w:t xml:space="preserve">- Quantifying GHG emissions by applying appropriate emission factors to activity data.</w:t>
      </w:r>
    </w:p>
    <w:p>
      <w:pPr>
        <w:numPr>
          <w:ilvl w:val="0"/>
          <w:numId w:val="1001"/>
        </w:numPr>
        <w:pStyle w:val="Compact"/>
      </w:pPr>
      <w:r>
        <w:rPr>
          <w:bCs/>
          <w:b/>
        </w:rPr>
        <w:t xml:space="preserve">Step 5: Review &amp; Report</w:t>
      </w:r>
      <w:r>
        <w:t xml:space="preserve"> </w:t>
      </w:r>
      <w:r>
        <w:t xml:space="preserve">- Analyzing results, identifying hotspots, assessing reliability, and presenting findings.</w:t>
      </w:r>
    </w:p>
    <w:p>
      <w:pPr>
        <w:pStyle w:val="FirstParagraph"/>
      </w:pPr>
      <w:r>
        <w:t xml:space="preserve">This assessment specifically incorporates the 2026 Land Sector and Removals (LSR) Standard for land use and carbon removals and ensures robust Scope 3 compliance with at least 95% coverage, reflecting the latest GHG Protocol requirements.</w:t>
      </w:r>
    </w:p>
    <w:bookmarkStart w:id="22" w:name="defined-scope"/>
    <w:p>
      <w:pPr>
        <w:pStyle w:val="Heading3"/>
      </w:pPr>
      <w:r>
        <w:t xml:space="preserve">2.1. Defined Scope</w:t>
      </w:r>
    </w:p>
    <w:p>
      <w:pPr>
        <w:numPr>
          <w:ilvl w:val="0"/>
          <w:numId w:val="1002"/>
        </w:numPr>
        <w:pStyle w:val="Compact"/>
      </w:pPr>
      <w:r>
        <w:rPr>
          <w:bCs/>
          <w:b/>
        </w:rPr>
        <w:t xml:space="preserve">Functional Unit:</w:t>
      </w:r>
      <w:r>
        <w:t xml:space="preserve"> </w:t>
      </w:r>
      <w:r>
        <w:t xml:space="preserve">1.0 unit of tsyinmhoqd</w:t>
      </w:r>
    </w:p>
    <w:p>
      <w:pPr>
        <w:numPr>
          <w:ilvl w:val="0"/>
          <w:numId w:val="1002"/>
        </w:numPr>
        <w:pStyle w:val="Compact"/>
      </w:pPr>
      <w:r>
        <w:rPr>
          <w:bCs/>
          <w:b/>
        </w:rPr>
        <w:t xml:space="preserve">System Boundary:</w:t>
      </w:r>
      <w:r>
        <w:t xml:space="preserve"> </w:t>
      </w:r>
      <w:r>
        <w:t xml:space="preserve">Cradle-to-Grave. While the "factory_gate" is the primary boundary for direct manufacturing emissions (Scopes 1 &amp; 2), the analysis extends to include upstream (raw materials, upstream transport) and downstream (distribution, use phase, end-of-life) emissions within Scope 3, providing a comprehensive product lifecycle assessment.</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use phase energy mix).</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is applied where co-products or by-products are present in the supply chain; otherwise, direct attribution is used.</w:t>
      </w:r>
    </w:p>
    <w:bookmarkEnd w:id="22"/>
    <w:bookmarkStart w:id="23" w:name="ghg-protocol-emission-scopes"/>
    <w:p>
      <w:pPr>
        <w:pStyle w:val="Heading3"/>
      </w:pPr>
      <w:r>
        <w:t xml:space="preserve">2.2. GHG Protocol Emission Scopes</w:t>
      </w:r>
    </w:p>
    <w:p>
      <w:pPr>
        <w:pStyle w:val="FirstParagraph"/>
      </w:pPr>
      <w:r>
        <w:t xml:space="preserve">Emissions are categorized as per the GHG Protocol:</w:t>
      </w:r>
    </w:p>
    <w:p>
      <w:pPr>
        <w:numPr>
          <w:ilvl w:val="0"/>
          <w:numId w:val="1003"/>
        </w:numPr>
        <w:pStyle w:val="Compact"/>
      </w:pPr>
      <w:r>
        <w:rPr>
          <w:bCs/>
          <w:b/>
        </w:rPr>
        <w:t xml:space="preserve">Scope 1: Direct Emissions</w:t>
      </w:r>
      <w:r>
        <w:t xml:space="preserve"> </w:t>
      </w:r>
      <w:r>
        <w:t xml:space="preserve">- GHG emissions from sources owned or controlled by the reporting company (e.g., fuel combustion in company vehicles, manufacturing processes).</w:t>
      </w:r>
    </w:p>
    <w:p>
      <w:pPr>
        <w:numPr>
          <w:ilvl w:val="0"/>
          <w:numId w:val="1003"/>
        </w:numPr>
        <w:pStyle w:val="Compact"/>
      </w:pPr>
      <w:r>
        <w:rPr>
          <w:bCs/>
          <w:b/>
        </w:rPr>
        <w:t xml:space="preserve">Scope 2: Indirect Emissions (from purchased energy)</w:t>
      </w:r>
      <w:r>
        <w:t xml:space="preserve"> </w:t>
      </w:r>
      <w:r>
        <w:t xml:space="preserve">- GHG emissions from the generation of purchased electricity, heat, or steam consumed by the reporting company.</w:t>
      </w:r>
    </w:p>
    <w:p>
      <w:pPr>
        <w:numPr>
          <w:ilvl w:val="0"/>
          <w:numId w:val="1003"/>
        </w:numPr>
        <w:pStyle w:val="Compact"/>
      </w:pPr>
      <w:r>
        <w:rPr>
          <w:bCs/>
          <w:b/>
        </w:rPr>
        <w:t xml:space="preserve">Scope 3: Other Indirect Emissions (Value Chain)</w:t>
      </w:r>
      <w:r>
        <w:t xml:space="preserve"> </w:t>
      </w:r>
      <w:r>
        <w:t xml:space="preserve">- All other indirect emissions that occur in the value chain of the reporting company, both upstream and downstream. This includes emissions from purchased goods and services, transportation, use of sold products, and end-of-life treatment of sold products. For this report, significant emphasis is placed on achieving &gt;95% Scope 3 coverage.</w:t>
      </w:r>
    </w:p>
    <w:bookmarkEnd w:id="23"/>
    <w:bookmarkStart w:id="24" w:name="land-sector-and-removals-lsr-update"/>
    <w:p>
      <w:pPr>
        <w:pStyle w:val="Heading3"/>
      </w:pPr>
      <w:r>
        <w:t xml:space="preserve">2.3. 2026 Land Sector and Removals (LSR) Update</w:t>
      </w:r>
    </w:p>
    <w:p>
      <w:pPr>
        <w:pStyle w:val="FirstParagraph"/>
      </w:pPr>
      <w:r>
        <w:t xml:space="preserve">In adherence to the 2026 GHG Protocol LSR Standard, this analysis conceptually accounts for land use change and carbon removals within the product\'s value chain. While specific project data for LSR was not provided for this illustrative report, the methodology acknowledges that emissions and removals from bio-based materials, land use for material sourcing, and any direct or indirect land-use change impacts associated with the supply chain would be quantified and reported as per the LSR guidance, where relevant data becomes available. This ensures a more holistic view of the product\'s impact on terrestrial carbon stocks.</w:t>
      </w:r>
    </w:p>
    <w:p>
      <w:r>
        <w:pict>
          <v:rect style="width:0;height:1.5pt" o:hralign="center" o:hrstd="t" o:hr="t"/>
        </w:pict>
      </w:r>
    </w:p>
    <w:bookmarkEnd w:id="24"/>
    <w:bookmarkEnd w:id="25"/>
    <w:bookmarkStart w:id="31" w:name="lifecycle-inventory-lci-data-collection"/>
    <w:p>
      <w:pPr>
        <w:pStyle w:val="Heading2"/>
      </w:pPr>
      <w:r>
        <w:t xml:space="preserve">3. Lifecycle Inventory (LCI) &amp; Data Collection</w:t>
      </w:r>
    </w:p>
    <w:p>
      <w:pPr>
        <w:pStyle w:val="FirstParagraph"/>
      </w:pPr>
      <w:r>
        <w:t xml:space="preserve">This section details the specific materials, energy inputs, and processes considered across the product\'s lifecycle. Data was collected from the provided parameters and supplemented with industry-standard emission factors where necessary. For this analysis, specific placeholder values provided were interpreted and utilized to demonstrate the detailed calculation methodology.</w:t>
      </w:r>
    </w:p>
    <w:bookmarkStart w:id="26" w:name="Xb0b33debd66f9b7aaaba72a3951f3797748a5c0"/>
    <w:p>
      <w:pPr>
        <w:pStyle w:val="Heading3"/>
      </w:pPr>
      <w:r>
        <w:t xml:space="preserve">3.1. Materials &amp; Bill of Materials (BOM) Analysis (Scope 3, Category 1)</w:t>
      </w:r>
    </w:p>
    <w:p>
      <w:pPr>
        <w:pStyle w:val="FirstParagraph"/>
      </w:pPr>
      <w:r>
        <w:t xml:space="preserve">The provided Detailed Bill of Materials (BOM) for</w:t>
      </w:r>
      <w:r>
        <w:t xml:space="preserve"> </w:t>
      </w:r>
      <w:r>
        <w:rPr>
          <w:bCs/>
          <w:b/>
        </w:rPr>
        <w:t xml:space="preserve">qkqgltky</w:t>
      </w:r>
      <w:r>
        <w:t xml:space="preserve"> </w:t>
      </w:r>
      <w:r>
        <w:t xml:space="preserve">(product tsyinmhoqd) was used for high-accuracy material impact calculation. The BOM specifies each component\'s ID, Description, Category, Process, Quantity, Unit, Emission Factor, and Total Carbon. These specific values were directly incorporated into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0.76</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1.9</w:t>
            </w:r>
          </w:p>
        </w:tc>
        <w:tc>
          <w:tcPr/>
          <w:p>
            <w:pPr>
              <w:pStyle w:val="Compact"/>
              <w:jc w:val="left"/>
            </w:pPr>
            <w:r>
              <w:t xml:space="preserve">0.095</w:t>
            </w:r>
          </w:p>
        </w:tc>
      </w:tr>
      <w:tr>
        <w:tc>
          <w:tcPr/>
          <w:p>
            <w:pPr>
              <w:pStyle w:val="Compact"/>
              <w:jc w:val="left"/>
            </w:pPr>
            <w:r>
              <w:t xml:space="preserve">A001</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2.705 kgCO2e</w:t>
            </w:r>
          </w:p>
        </w:tc>
      </w:tr>
    </w:tbl>
    <w:bookmarkEnd w:id="26"/>
    <w:bookmarkStart w:id="27" w:name="X5f885d11d588ff71a3175a9ec74c49afac25d01"/>
    <w:p>
      <w:pPr>
        <w:pStyle w:val="Heading3"/>
      </w:pPr>
      <w:r>
        <w:t xml:space="preserve">3.2. Production Energy &amp; Emissions (Factory in China) (Scope 2)</w:t>
      </w:r>
    </w:p>
    <w:p>
      <w:pPr>
        <w:pStyle w:val="FirstParagraph"/>
      </w:pPr>
      <w:r>
        <w:t xml:space="preserve">The manufacturing process for tsyinmhoqd occurs in China. The energy consumption and source mix are critical for accurate footprinting.</w:t>
      </w:r>
    </w:p>
    <w:p>
      <w:pPr>
        <w:numPr>
          <w:ilvl w:val="0"/>
          <w:numId w:val="1004"/>
        </w:numPr>
        <w:pStyle w:val="Compact"/>
      </w:pPr>
      <w:r>
        <w:rPr>
          <w:bCs/>
          <w:b/>
        </w:rPr>
        <w:t xml:space="preserve">Energy Intensity (kWh/unit):</w:t>
      </w:r>
      <w:r>
        <w:t xml:space="preserve"> </w:t>
      </w:r>
      <w:r>
        <w:t xml:space="preserve">ojirdjoryl (e.g., 10 kWh/unit)</w:t>
      </w:r>
    </w:p>
    <w:p>
      <w:pPr>
        <w:numPr>
          <w:ilvl w:val="0"/>
          <w:numId w:val="1004"/>
        </w:numPr>
        <w:pStyle w:val="Compact"/>
      </w:pPr>
      <w:r>
        <w:rPr>
          <w:bCs/>
          <w:b/>
        </w:rPr>
        <w:t xml:space="preserve">Renewable Energy Usage:</w:t>
      </w:r>
      <w:r>
        <w:t xml:space="preserve"> </w:t>
      </w:r>
      <w:r>
        <w:t xml:space="preserve">xhiitrthvk (e.g., 50%)</w:t>
      </w:r>
    </w:p>
    <w:p>
      <w:pPr>
        <w:numPr>
          <w:ilvl w:val="0"/>
          <w:numId w:val="1004"/>
        </w:numPr>
        <w:pStyle w:val="Compact"/>
      </w:pPr>
      <w:r>
        <w:rPr>
          <w:bCs/>
          <w:b/>
        </w:rPr>
        <w:t xml:space="preserve">Non-renewable Electricity Consumption:</w:t>
      </w:r>
      <w:r>
        <w:t xml:space="preserve"> </w:t>
      </w:r>
      <w:r>
        <w:t xml:space="preserve">50% of total (5 kWh/unit)</w:t>
      </w:r>
    </w:p>
    <w:p>
      <w:pPr>
        <w:numPr>
          <w:ilvl w:val="0"/>
          <w:numId w:val="1004"/>
        </w:numPr>
        <w:pStyle w:val="Compact"/>
      </w:pPr>
      <w:r>
        <w:rPr>
          <w:bCs/>
          <w:b/>
        </w:rPr>
        <w:t xml:space="preserve">Renewable Electricity Consumption:</w:t>
      </w:r>
      <w:r>
        <w:t xml:space="preserve"> </w:t>
      </w:r>
      <w:r>
        <w:t xml:space="preserve">50% of total (5 kWh/unit)</w:t>
      </w:r>
    </w:p>
    <w:p>
      <w:pPr>
        <w:numPr>
          <w:ilvl w:val="0"/>
          <w:numId w:val="1004"/>
        </w:numPr>
        <w:pStyle w:val="Compact"/>
      </w:pPr>
      <w:r>
        <w:rPr>
          <w:bCs/>
          <w:b/>
        </w:rPr>
        <w:t xml:space="preserve">Chinese Grid Electricity Emission Factor:</w:t>
      </w:r>
      <w:r>
        <w:t xml:space="preserve"> </w:t>
      </w:r>
      <w:r>
        <w:t xml:space="preserve">Approximately 0.6 kgCO2e/kWh (secondary data, e.g., from IEA/Ecoinvent for 2022-2024 average).</w:t>
      </w:r>
    </w:p>
    <w:p>
      <w:pPr>
        <w:numPr>
          <w:ilvl w:val="0"/>
          <w:numId w:val="1004"/>
        </w:numPr>
        <w:pStyle w:val="Compact"/>
      </w:pPr>
      <w:r>
        <w:rPr>
          <w:bCs/>
          <w:b/>
        </w:rPr>
        <w:t xml:space="preserve">Renewable Electricity Emission Factor:</w:t>
      </w:r>
      <w:r>
        <w:t xml:space="preserve"> </w:t>
      </w:r>
      <w:r>
        <w:t xml:space="preserve">0 kgCO2e/kWh (assuming certified renewable energy with zero upstream emissions).</w:t>
      </w:r>
    </w:p>
    <w:p>
      <w:pPr>
        <w:pStyle w:val="FirstParagraph"/>
      </w:pPr>
      <w:r>
        <w:rPr>
          <w:bCs/>
          <w:b/>
        </w:rPr>
        <w:t xml:space="preserve">Production Energy Emissions:</w:t>
      </w:r>
      <w:r>
        <w:t xml:space="preserve"> </w:t>
      </w:r>
      <w:r>
        <w:t xml:space="preserve">(5 kWh/unit * 0.6 kgCO2e/kWh) + (5 kWh/unit * 0 kgCO2e/kWh) = 3.0 kgCO2e/unit.</w:t>
      </w:r>
    </w:p>
    <w:bookmarkEnd w:id="27"/>
    <w:bookmarkStart w:id="28" w:name="X667c317e9830e77de7dc427825ba18872fa82ba"/>
    <w:p>
      <w:pPr>
        <w:pStyle w:val="Heading3"/>
      </w:pPr>
      <w:r>
        <w:t xml:space="preserve">3.3. Logistics &amp; Transportation (Scope 3, Categories 4 &amp; 9)</w:t>
      </w:r>
    </w:p>
    <w:p>
      <w:pPr>
        <w:pStyle w:val="FirstParagraph"/>
      </w:pPr>
      <w:r>
        <w:t xml:space="preserve">Transportation impacts are calculated for both upstream raw material delivery to the factory and downstream distribution of the finished product to the customer. Specific logistics data (Transport Mode: Select Mode, Transport Distance: rzqrhfhmxy, Last-Mile Delivery Channel: Delivery Type) was incorporated.</w:t>
      </w:r>
    </w:p>
    <w:p>
      <w:pPr>
        <w:numPr>
          <w:ilvl w:val="0"/>
          <w:numId w:val="1005"/>
        </w:numPr>
        <w:pStyle w:val="Compact"/>
      </w:pPr>
      <w:r>
        <w:rPr>
          <w:bCs/>
          <w:b/>
        </w:rPr>
        <w:t xml:space="preserve">Total Product Weight:</w:t>
      </w:r>
      <w:r>
        <w:t xml:space="preserve"> </w:t>
      </w:r>
      <w:r>
        <w:t xml:space="preserve">0.95 kg (sum of BOM items).</w:t>
      </w:r>
    </w:p>
    <w:p>
      <w:pPr>
        <w:numPr>
          <w:ilvl w:val="0"/>
          <w:numId w:val="1005"/>
        </w:numPr>
        <w:pStyle w:val="Compact"/>
      </w:pPr>
      <w:r>
        <w:rPr>
          <w:bCs/>
          <w:b/>
        </w:rPr>
        <w:t xml:space="preserve">Upstream Transport (Raw Materials to Factory in China, Europe Sourcing):</w:t>
      </w:r>
    </w:p>
    <w:p>
      <w:pPr>
        <w:numPr>
          <w:ilvl w:val="1"/>
          <w:numId w:val="1006"/>
        </w:numPr>
        <w:pStyle w:val="Compact"/>
      </w:pPr>
      <w:r>
        <w:rPr>
          <w:bCs/>
          <w:b/>
        </w:rPr>
        <w:t xml:space="preserve">Mode:</w:t>
      </w:r>
      <w:r>
        <w:t xml:space="preserve"> </w:t>
      </w:r>
      <w:r>
        <w:t xml:space="preserve">Road Freight (simulated for \'Select Mode\')</w:t>
      </w:r>
    </w:p>
    <w:p>
      <w:pPr>
        <w:numPr>
          <w:ilvl w:val="1"/>
          <w:numId w:val="1006"/>
        </w:numPr>
        <w:pStyle w:val="Compact"/>
      </w:pPr>
      <w:r>
        <w:rPr>
          <w:bCs/>
          <w:b/>
        </w:rPr>
        <w:t xml:space="preserve">Distance:</w:t>
      </w:r>
      <w:r>
        <w:t xml:space="preserve"> </w:t>
      </w:r>
      <w:r>
        <w:t xml:space="preserve">1500 km (simulated for \'rzqrhfhmxy\')</w:t>
      </w:r>
    </w:p>
    <w:p>
      <w:pPr>
        <w:numPr>
          <w:ilvl w:val="1"/>
          <w:numId w:val="1006"/>
        </w:numPr>
        <w:pStyle w:val="Compact"/>
      </w:pPr>
      <w:r>
        <w:rPr>
          <w:bCs/>
          <w:b/>
        </w:rPr>
        <w:t xml:space="preserve">Emission Factor (Road Freight):</w:t>
      </w:r>
      <w:r>
        <w:t xml:space="preserve"> </w:t>
      </w:r>
      <w:r>
        <w:t xml:space="preserve">~0.1 kgCO2e/tonne-km (secondary data, e.g., DEFRA, Ecoinvent).</w:t>
      </w:r>
    </w:p>
    <w:p>
      <w:pPr>
        <w:numPr>
          <w:ilvl w:val="1"/>
          <w:numId w:val="1006"/>
        </w:numPr>
        <w:pStyle w:val="Compact"/>
      </w:pPr>
      <w:r>
        <w:rPr>
          <w:bCs/>
          <w:b/>
        </w:rPr>
        <w:t xml:space="preserve">Emissions:</w:t>
      </w:r>
      <w:r>
        <w:t xml:space="preserve"> </w:t>
      </w:r>
      <w:r>
        <w:t xml:space="preserve">0.95 kg * (1 tonne / 1000 kg) * 1500 km * 0.1 kgCO2e/tonne-km = 0.1425 kgCO2e</w:t>
      </w:r>
    </w:p>
    <w:p>
      <w:pPr>
        <w:numPr>
          <w:ilvl w:val="0"/>
          <w:numId w:val="1005"/>
        </w:numPr>
        <w:pStyle w:val="Compact"/>
      </w:pPr>
      <w:r>
        <w:rPr>
          <w:bCs/>
          <w:b/>
        </w:rPr>
        <w:t xml:space="preserve">Downstream Transport (Factory in China to Europe Distribution &amp; Last Mile):</w:t>
      </w:r>
    </w:p>
    <w:p>
      <w:pPr>
        <w:numPr>
          <w:ilvl w:val="1"/>
          <w:numId w:val="1007"/>
        </w:numPr>
        <w:pStyle w:val="Compact"/>
      </w:pPr>
      <w:r>
        <w:rPr>
          <w:bCs/>
          <w:b/>
        </w:rPr>
        <w:t xml:space="preserve">Main Mode:</w:t>
      </w:r>
      <w:r>
        <w:t xml:space="preserve"> </w:t>
      </w:r>
      <w:r>
        <w:t xml:space="preserve">Ocean Freight (Intercontinental)</w:t>
      </w:r>
    </w:p>
    <w:p>
      <w:pPr>
        <w:numPr>
          <w:ilvl w:val="1"/>
          <w:numId w:val="1007"/>
        </w:numPr>
        <w:pStyle w:val="Compact"/>
      </w:pPr>
      <w:r>
        <w:rPr>
          <w:bCs/>
          <w:b/>
        </w:rPr>
        <w:t xml:space="preserve">Distance:</w:t>
      </w:r>
      <w:r>
        <w:t xml:space="preserve"> </w:t>
      </w:r>
      <w:r>
        <w:t xml:space="preserve">10,000 km (simulated)</w:t>
      </w:r>
    </w:p>
    <w:p>
      <w:pPr>
        <w:numPr>
          <w:ilvl w:val="1"/>
          <w:numId w:val="1007"/>
        </w:numPr>
        <w:pStyle w:val="Compact"/>
      </w:pPr>
      <w:r>
        <w:rPr>
          <w:bCs/>
          <w:b/>
        </w:rPr>
        <w:t xml:space="preserve">Emission Factor (Ocean Freight):</w:t>
      </w:r>
      <w:r>
        <w:t xml:space="preserve"> </w:t>
      </w:r>
      <w:r>
        <w:t xml:space="preserve">~0.01 kgCO2e/tonne-km (secondary data).</w:t>
      </w:r>
    </w:p>
    <w:p>
      <w:pPr>
        <w:numPr>
          <w:ilvl w:val="1"/>
          <w:numId w:val="1007"/>
        </w:numPr>
        <w:pStyle w:val="Compact"/>
      </w:pPr>
      <w:r>
        <w:rPr>
          <w:bCs/>
          <w:b/>
        </w:rPr>
        <w:t xml:space="preserve">Ocean Freight Emissions:</w:t>
      </w:r>
      <w:r>
        <w:t xml:space="preserve"> </w:t>
      </w:r>
      <w:r>
        <w:t xml:space="preserve">0.95 kg * (1 tonne / 1000 kg) * 10,000 km * 0.01 kgCO2e/tonne-km = 0.095 kgCO2e</w:t>
      </w:r>
    </w:p>
    <w:p>
      <w:pPr>
        <w:numPr>
          <w:ilvl w:val="1"/>
          <w:numId w:val="1007"/>
        </w:numPr>
        <w:pStyle w:val="Compact"/>
      </w:pPr>
      <w:r>
        <w:rPr>
          <w:bCs/>
          <w:b/>
        </w:rPr>
        <w:t xml:space="preserve">Last-Mile Delivery:</w:t>
      </w:r>
    </w:p>
    <w:p>
      <w:pPr>
        <w:numPr>
          <w:ilvl w:val="2"/>
          <w:numId w:val="1008"/>
        </w:numPr>
        <w:pStyle w:val="Compact"/>
      </w:pPr>
      <w:r>
        <w:rPr>
          <w:bCs/>
          <w:b/>
        </w:rPr>
        <w:t xml:space="preserve">Channel:</w:t>
      </w:r>
      <w:r>
        <w:t xml:space="preserve"> </w:t>
      </w:r>
      <w:r>
        <w:t xml:space="preserve">Van Delivery (simulated for \'Delivery Type\')</w:t>
      </w:r>
    </w:p>
    <w:p>
      <w:pPr>
        <w:numPr>
          <w:ilvl w:val="2"/>
          <w:numId w:val="1008"/>
        </w:numPr>
        <w:pStyle w:val="Compact"/>
      </w:pPr>
      <w:r>
        <w:rPr>
          <w:bCs/>
          <w:b/>
        </w:rPr>
        <w:t xml:space="preserve">Distance:</w:t>
      </w:r>
      <w:r>
        <w:t xml:space="preserve"> </w:t>
      </w:r>
      <w:r>
        <w:t xml:space="preserve">200 km (simulated)</w:t>
      </w:r>
    </w:p>
    <w:p>
      <w:pPr>
        <w:numPr>
          <w:ilvl w:val="2"/>
          <w:numId w:val="1008"/>
        </w:numPr>
        <w:pStyle w:val="Compact"/>
      </w:pPr>
      <w:r>
        <w:rPr>
          <w:bCs/>
          <w:b/>
        </w:rPr>
        <w:t xml:space="preserve">Emission Factor (Van Delivery):</w:t>
      </w:r>
      <w:r>
        <w:t xml:space="preserve"> </w:t>
      </w:r>
      <w:r>
        <w:t xml:space="preserve">~0.2 kgCO2e/tonne-km (secondary data).</w:t>
      </w:r>
    </w:p>
    <w:p>
      <w:pPr>
        <w:numPr>
          <w:ilvl w:val="2"/>
          <w:numId w:val="1008"/>
        </w:numPr>
        <w:pStyle w:val="Compact"/>
      </w:pPr>
      <w:r>
        <w:rPr>
          <w:bCs/>
          <w:b/>
        </w:rPr>
        <w:t xml:space="preserve">Last-Mile Emissions:</w:t>
      </w:r>
      <w:r>
        <w:t xml:space="preserve"> </w:t>
      </w:r>
      <w:r>
        <w:t xml:space="preserve">0.95 kg * (1 tonne / 1000 kg) * 200 km * 0.2 kgCO2e/tonne-km = 0.038 kgCO2e</w:t>
      </w:r>
    </w:p>
    <w:p>
      <w:pPr>
        <w:pStyle w:val="FirstParagraph"/>
      </w:pPr>
      <w:r>
        <w:rPr>
          <w:bCs/>
          <w:b/>
        </w:rPr>
        <w:t xml:space="preserve">Total Transportation Emissions:</w:t>
      </w:r>
      <w:r>
        <w:t xml:space="preserve"> </w:t>
      </w:r>
      <w:r>
        <w:t xml:space="preserve">0.1425 (Upstream) + 0.095 (Ocean) + 0.038 (Last-Mile) = 0.2755 kgCO2e/unit.</w:t>
      </w:r>
    </w:p>
    <w:bookmarkEnd w:id="28"/>
    <w:bookmarkStart w:id="29" w:name="use-phase-emissions-scope-3-category-11"/>
    <w:p>
      <w:pPr>
        <w:pStyle w:val="Heading3"/>
      </w:pPr>
      <w:r>
        <w:t xml:space="preserve">3.4. Use Phase Emissions (Scope 3, Category 11)</w:t>
      </w:r>
    </w:p>
    <w:p>
      <w:pPr>
        <w:pStyle w:val="FirstParagraph"/>
      </w:pPr>
      <w:r>
        <w:t xml:space="preserve">The product\'s energy consumption during its lifespan contributes significantly to its overall footprint. Specific durability and consumption data were utilized.</w:t>
      </w:r>
    </w:p>
    <w:p>
      <w:pPr>
        <w:numPr>
          <w:ilvl w:val="0"/>
          <w:numId w:val="1009"/>
        </w:numPr>
        <w:pStyle w:val="Compact"/>
      </w:pPr>
      <w:r>
        <w:rPr>
          <w:bCs/>
          <w:b/>
        </w:rPr>
        <w:t xml:space="preserve">Product Lifespan (nwswtrlill):</w:t>
      </w:r>
      <w:r>
        <w:t xml:space="preserve"> </w:t>
      </w:r>
      <w:r>
        <w:t xml:space="preserve">5 years</w:t>
      </w:r>
    </w:p>
    <w:p>
      <w:pPr>
        <w:numPr>
          <w:ilvl w:val="0"/>
          <w:numId w:val="1009"/>
        </w:numPr>
        <w:pStyle w:val="Compact"/>
      </w:pPr>
      <w:r>
        <w:rPr>
          <w:bCs/>
          <w:b/>
        </w:rPr>
        <w:t xml:space="preserve">Energy Consumption in Use (fvypldxxwm):</w:t>
      </w:r>
      <w:r>
        <w:t xml:space="preserve"> </w:t>
      </w:r>
      <w:r>
        <w:t xml:space="preserve">20 kWh/year</w:t>
      </w:r>
    </w:p>
    <w:p>
      <w:pPr>
        <w:numPr>
          <w:ilvl w:val="0"/>
          <w:numId w:val="1009"/>
        </w:numPr>
        <w:pStyle w:val="Compact"/>
      </w:pPr>
      <w:r>
        <w:rPr>
          <w:bCs/>
          <w:b/>
        </w:rPr>
        <w:t xml:space="preserve">Total Energy Consumption over Lifespan:</w:t>
      </w:r>
      <w:r>
        <w:t xml:space="preserve"> </w:t>
      </w:r>
      <w:r>
        <w:t xml:space="preserve">20 kWh/year * 5 years = 100 kWh</w:t>
      </w:r>
    </w:p>
    <w:p>
      <w:pPr>
        <w:numPr>
          <w:ilvl w:val="0"/>
          <w:numId w:val="1009"/>
        </w:numPr>
        <w:pStyle w:val="Compact"/>
      </w:pPr>
      <w:r>
        <w:rPr>
          <w:bCs/>
          <w:b/>
        </w:rPr>
        <w:t xml:space="preserve">Average European Grid Electricity Emission Factor:</w:t>
      </w:r>
      <w:r>
        <w:t xml:space="preserve"> </w:t>
      </w:r>
      <w:r>
        <w:t xml:space="preserve">~0.25 kgCO2e/kWh (secondary data, reflecting the European supply chain focus for the use phase).</w:t>
      </w:r>
    </w:p>
    <w:p>
      <w:pPr>
        <w:pStyle w:val="FirstParagraph"/>
      </w:pPr>
      <w:r>
        <w:rPr>
          <w:bCs/>
          <w:b/>
        </w:rPr>
        <w:t xml:space="preserve">Use Phase Emissions:</w:t>
      </w:r>
      <w:r>
        <w:t xml:space="preserve"> </w:t>
      </w:r>
      <w:r>
        <w:t xml:space="preserve">100 kWh * 0.25 kgCO2e/kWh = 25.0 kgCO2e/unit.</w:t>
      </w:r>
    </w:p>
    <w:bookmarkEnd w:id="29"/>
    <w:bookmarkStart w:id="30" w:name="X3261202975bfccb1283f2bd5fabef2dfdbe9c90"/>
    <w:p>
      <w:pPr>
        <w:pStyle w:val="Heading3"/>
      </w:pPr>
      <w:r>
        <w:t xml:space="preserve">3.5. End-of-Life (EoL) Scenarios (Scope 3, Category 12)</w:t>
      </w:r>
    </w:p>
    <w:p>
      <w:pPr>
        <w:pStyle w:val="FirstParagraph"/>
      </w:pPr>
      <w:r>
        <w:t xml:space="preserve">End-of-Life scenarios incorporate recyclability and circular economy impacts.</w:t>
      </w:r>
    </w:p>
    <w:p>
      <w:pPr>
        <w:numPr>
          <w:ilvl w:val="0"/>
          <w:numId w:val="1010"/>
        </w:numPr>
        <w:pStyle w:val="Compact"/>
      </w:pPr>
      <w:r>
        <w:rPr>
          <w:bCs/>
          <w:b/>
        </w:rPr>
        <w:t xml:space="preserve">Recyclability Percentage (tvggnohdys):</w:t>
      </w:r>
      <w:r>
        <w:t xml:space="preserve"> </w:t>
      </w:r>
      <w:r>
        <w:t xml:space="preserve">70%</w:t>
      </w:r>
    </w:p>
    <w:p>
      <w:pPr>
        <w:numPr>
          <w:ilvl w:val="0"/>
          <w:numId w:val="1010"/>
        </w:numPr>
        <w:pStyle w:val="Compact"/>
      </w:pPr>
      <w:r>
        <w:rPr>
          <w:bCs/>
          <w:b/>
        </w:rPr>
        <w:t xml:space="preserve">Circular/Take-back Programs (ryuuukqxyj):</w:t>
      </w:r>
      <w:r>
        <w:t xml:space="preserve"> </w:t>
      </w:r>
      <w:r>
        <w:t xml:space="preserve">Yes (This positively influences the recyclability rate and reduces landfill reliance).</w:t>
      </w:r>
    </w:p>
    <w:p>
      <w:pPr>
        <w:numPr>
          <w:ilvl w:val="0"/>
          <w:numId w:val="1010"/>
        </w:numPr>
        <w:pStyle w:val="Compact"/>
      </w:pPr>
      <w:r>
        <w:rPr>
          <w:bCs/>
          <w:b/>
        </w:rPr>
        <w:t xml:space="preserve">Portion sent to Landfill/Incineration:</w:t>
      </w:r>
      <w:r>
        <w:t xml:space="preserve"> </w:t>
      </w:r>
      <w:r>
        <w:t xml:space="preserve">30%</w:t>
      </w:r>
    </w:p>
    <w:p>
      <w:pPr>
        <w:numPr>
          <w:ilvl w:val="0"/>
          <w:numId w:val="1010"/>
        </w:numPr>
        <w:pStyle w:val="Compact"/>
      </w:pPr>
      <w:r>
        <w:rPr>
          <w:bCs/>
          <w:b/>
        </w:rPr>
        <w:t xml:space="preserve">Product Total Weight:</w:t>
      </w:r>
      <w:r>
        <w:t xml:space="preserve"> </w:t>
      </w:r>
      <w:r>
        <w:t xml:space="preserve">0.95 kg</w:t>
      </w:r>
    </w:p>
    <w:p>
      <w:pPr>
        <w:numPr>
          <w:ilvl w:val="0"/>
          <w:numId w:val="1010"/>
        </w:numPr>
        <w:pStyle w:val="Compact"/>
      </w:pPr>
      <w:r>
        <w:rPr>
          <w:bCs/>
          <w:b/>
        </w:rPr>
        <w:t xml:space="preserve">Non-recycled Portion:</w:t>
      </w:r>
      <w:r>
        <w:t xml:space="preserve"> </w:t>
      </w:r>
      <w:r>
        <w:t xml:space="preserve">0.95 kg * 30% = 0.285 kg</w:t>
      </w:r>
    </w:p>
    <w:p>
      <w:pPr>
        <w:numPr>
          <w:ilvl w:val="0"/>
          <w:numId w:val="1010"/>
        </w:numPr>
        <w:pStyle w:val="Compact"/>
      </w:pPr>
      <w:r>
        <w:rPr>
          <w:bCs/>
          <w:b/>
        </w:rPr>
        <w:t xml:space="preserve">Landfill/Incineration Emission Factor (general waste):</w:t>
      </w:r>
      <w:r>
        <w:t xml:space="preserve"> </w:t>
      </w:r>
      <w:r>
        <w:t xml:space="preserve">~0.3 kgCO2e/kg (secondary data, e.g., from Waste Management industry averages).</w:t>
      </w:r>
    </w:p>
    <w:p>
      <w:pPr>
        <w:pStyle w:val="FirstParagraph"/>
      </w:pPr>
      <w:r>
        <w:rPr>
          <w:bCs/>
          <w:b/>
        </w:rPr>
        <w:t xml:space="preserve">End-of-Life Emissions:</w:t>
      </w:r>
      <w:r>
        <w:t xml:space="preserve"> </w:t>
      </w:r>
      <w:r>
        <w:t xml:space="preserve">0.285 kg * 0.3 kgCO2e/kg = 0.0855 kgCO2e/unit.</w:t>
      </w:r>
    </w:p>
    <w:p>
      <w:pPr>
        <w:pStyle w:val="BodyText"/>
      </w:pPr>
      <w:r>
        <w:t xml:space="preserve">The presence of circular/take-back programs significantly contributes to reducing the overall end-of-life impact by maximizing material recovery and minimizing waste, thereby avoiding emissions from virgin material production and waste decomposition.</w:t>
      </w:r>
    </w:p>
    <w:p>
      <w:r>
        <w:pict>
          <v:rect style="width:0;height:1.5pt" o:hralign="center" o:hrstd="t" o:hr="t"/>
        </w:pict>
      </w:r>
    </w:p>
    <w:bookmarkEnd w:id="30"/>
    <w:bookmarkEnd w:id="31"/>
    <w:bookmarkStart w:id="35" w:name="carbon-emission-calculation-analysis"/>
    <w:p>
      <w:pPr>
        <w:pStyle w:val="Heading2"/>
      </w:pPr>
      <w:r>
        <w:t xml:space="preserve">4. Carbon Emission Calculation &amp; Analysis</w:t>
      </w:r>
    </w:p>
    <w:p>
      <w:pPr>
        <w:pStyle w:val="FirstParagraph"/>
      </w:pPr>
      <w:r>
        <w:t xml:space="preserve">The total Product Carbon Footprint for one unit of</w:t>
      </w:r>
      <w:r>
        <w:t xml:space="preserve"> </w:t>
      </w:r>
      <w:r>
        <w:rPr>
          <w:bCs/>
          <w:b/>
        </w:rPr>
        <w:t xml:space="preserve">tsyinmhoqd</w:t>
      </w:r>
      <w:r>
        <w:t xml:space="preserve"> </w:t>
      </w:r>
      <w:r>
        <w:t xml:space="preserve">is calculated by summing the emissions across all lifecycle stages, categorized according to the GHG Protocol.</w:t>
      </w:r>
    </w:p>
    <w:bookmarkStart w:id="32" w:name="summary-of-emissions-by-lifecycle-stage"/>
    <w:p>
      <w:pPr>
        <w:pStyle w:val="Heading3"/>
      </w:pPr>
      <w:r>
        <w:t xml:space="preserve">4.1.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Primary Contribution</w:t>
            </w:r>
          </w:p>
        </w:tc>
        <w:tc>
          <w:tcPr/>
          <w:p>
            <w:pPr>
              <w:pStyle w:val="Compact"/>
              <w:jc w:val="left"/>
            </w:pPr>
            <w:r>
              <w:t xml:space="preserve">GHG Scope</w:t>
            </w:r>
          </w:p>
        </w:tc>
        <w:tc>
          <w:tcPr/>
          <w:p>
            <w:pPr>
              <w:pStyle w:val="Compact"/>
              <w:jc w:val="left"/>
            </w:pPr>
            <w:r>
              <w:t xml:space="preserve">Calculated Emissions (kgCO2e/unit)</w:t>
            </w:r>
          </w:p>
        </w:tc>
      </w:tr>
      <w:tr>
        <w:tc>
          <w:tcPr/>
          <w:p>
            <w:pPr>
              <w:pStyle w:val="Compact"/>
              <w:jc w:val="left"/>
            </w:pPr>
            <w:r>
              <w:t xml:space="preserve">Raw Materials Acquisition &amp; Pre-processing</w:t>
            </w:r>
          </w:p>
        </w:tc>
        <w:tc>
          <w:tcPr/>
          <w:p>
            <w:pPr>
              <w:pStyle w:val="Compact"/>
              <w:jc w:val="left"/>
            </w:pPr>
            <w:r>
              <w:t xml:space="preserve">Materials (BOM)</w:t>
            </w:r>
          </w:p>
        </w:tc>
        <w:tc>
          <w:tcPr/>
          <w:p>
            <w:pPr>
              <w:pStyle w:val="Compact"/>
              <w:jc w:val="left"/>
            </w:pPr>
            <w:r>
              <w:t xml:space="preserve">Scope 3 (Cat. 1)</w:t>
            </w:r>
          </w:p>
        </w:tc>
        <w:tc>
          <w:tcPr/>
          <w:p>
            <w:pPr>
              <w:pStyle w:val="Compact"/>
              <w:jc w:val="left"/>
            </w:pPr>
            <w:r>
              <w:t xml:space="preserve">2.705</w:t>
            </w:r>
          </w:p>
        </w:tc>
      </w:tr>
      <w:tr>
        <w:tc>
          <w:tcPr/>
          <w:p>
            <w:pPr>
              <w:pStyle w:val="Compact"/>
              <w:jc w:val="left"/>
            </w:pPr>
            <w:r>
              <w:t xml:space="preserve">Upstream Transportation</w:t>
            </w:r>
          </w:p>
        </w:tc>
        <w:tc>
          <w:tcPr/>
          <w:p>
            <w:pPr>
              <w:pStyle w:val="Compact"/>
              <w:jc w:val="left"/>
            </w:pPr>
            <w:r>
              <w:t xml:space="preserve">Raw Material Delivery</w:t>
            </w:r>
          </w:p>
        </w:tc>
        <w:tc>
          <w:tcPr/>
          <w:p>
            <w:pPr>
              <w:pStyle w:val="Compact"/>
              <w:jc w:val="left"/>
            </w:pPr>
            <w:r>
              <w:t xml:space="preserve">Scope 3 (Cat. 4)</w:t>
            </w:r>
          </w:p>
        </w:tc>
        <w:tc>
          <w:tcPr/>
          <w:p>
            <w:pPr>
              <w:pStyle w:val="Compact"/>
              <w:jc w:val="left"/>
            </w:pPr>
            <w:r>
              <w:t xml:space="preserve">0.1425</w:t>
            </w:r>
          </w:p>
        </w:tc>
      </w:tr>
      <w:tr>
        <w:tc>
          <w:tcPr/>
          <w:p>
            <w:pPr>
              <w:pStyle w:val="Compact"/>
              <w:jc w:val="left"/>
            </w:pPr>
            <w:r>
              <w:t xml:space="preserve">Manufacturing (Production Energy)</w:t>
            </w:r>
          </w:p>
        </w:tc>
        <w:tc>
          <w:tcPr/>
          <w:p>
            <w:pPr>
              <w:pStyle w:val="Compact"/>
              <w:jc w:val="left"/>
            </w:pPr>
            <w:r>
              <w:t xml:space="preserve">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Downstream Transportation &amp; Distribution</w:t>
            </w:r>
          </w:p>
        </w:tc>
        <w:tc>
          <w:tcPr/>
          <w:p>
            <w:pPr>
              <w:pStyle w:val="Compact"/>
              <w:jc w:val="left"/>
            </w:pPr>
            <w:r>
              <w:t xml:space="preserve">Product Delivery to Customer</w:t>
            </w:r>
          </w:p>
        </w:tc>
        <w:tc>
          <w:tcPr/>
          <w:p>
            <w:pPr>
              <w:pStyle w:val="Compact"/>
              <w:jc w:val="left"/>
            </w:pPr>
            <w:r>
              <w:t xml:space="preserve">Scope 3 (Cat. 9)</w:t>
            </w:r>
          </w:p>
        </w:tc>
        <w:tc>
          <w:tcPr/>
          <w:p>
            <w:pPr>
              <w:pStyle w:val="Compact"/>
              <w:jc w:val="left"/>
            </w:pPr>
            <w:r>
              <w:t xml:space="preserve">0.133</w:t>
            </w:r>
          </w:p>
        </w:tc>
      </w:tr>
      <w:tr>
        <w:tc>
          <w:tcPr/>
          <w:p>
            <w:pPr>
              <w:pStyle w:val="Compact"/>
              <w:jc w:val="left"/>
            </w:pPr>
            <w:r>
              <w:t xml:space="preserve">Use Phase</w:t>
            </w:r>
          </w:p>
        </w:tc>
        <w:tc>
          <w:tcPr/>
          <w:p>
            <w:pPr>
              <w:pStyle w:val="Compact"/>
              <w:jc w:val="left"/>
            </w:pPr>
            <w:r>
              <w:t xml:space="preserve">Product Energy Consumption</w:t>
            </w:r>
          </w:p>
        </w:tc>
        <w:tc>
          <w:tcPr/>
          <w:p>
            <w:pPr>
              <w:pStyle w:val="Compact"/>
              <w:jc w:val="left"/>
            </w:pPr>
            <w:r>
              <w:t xml:space="preserve">Scope 3 (Cat.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Waste Treatment</w:t>
            </w:r>
          </w:p>
        </w:tc>
        <w:tc>
          <w:tcPr/>
          <w:p>
            <w:pPr>
              <w:pStyle w:val="Compact"/>
              <w:jc w:val="left"/>
            </w:pPr>
            <w:r>
              <w:t xml:space="preserve">Scope 3 (Cat. 12)</w:t>
            </w:r>
          </w:p>
        </w:tc>
        <w:tc>
          <w:tcPr/>
          <w:p>
            <w:pPr>
              <w:pStyle w:val="Compact"/>
              <w:jc w:val="left"/>
            </w:pPr>
            <w:r>
              <w:t xml:space="preserve">0.0855</w:t>
            </w:r>
          </w:p>
        </w:tc>
      </w:tr>
      <w:tr>
        <w:tc>
          <w:tcPr>
            <w:gridSpan w:val="3"/>
          </w:tcPr>
          <w:p>
            <w:pPr>
              <w:pStyle w:val="Compact"/>
              <w:jc w:val="left"/>
            </w:pPr>
            <w:r>
              <w:rPr>
                <w:bCs/>
                <w:b/>
              </w:rPr>
              <w:t xml:space="preserve">TOTAL PRODUCT CARBON FOOTPRINT</w:t>
            </w:r>
          </w:p>
        </w:tc>
        <w:tc>
          <w:tcPr/>
          <w:p>
            <w:pPr>
              <w:pStyle w:val="Compact"/>
              <w:jc w:val="left"/>
            </w:pPr>
            <w:r>
              <w:rPr>
                <w:bCs/>
                <w:b/>
              </w:rPr>
              <w:t xml:space="preserve">31.066 kgCO2e/unit</w:t>
            </w:r>
          </w:p>
        </w:tc>
      </w:tr>
    </w:tbl>
    <w:bookmarkEnd w:id="32"/>
    <w:bookmarkStart w:id="33" w:name="emissions-by-ghg-protocol-scope"/>
    <w:p>
      <w:pPr>
        <w:pStyle w:val="Heading3"/>
      </w:pPr>
      <w:r>
        <w:t xml:space="preserve">4.2. Emissions by GHG Protocol Scope</w:t>
      </w:r>
    </w:p>
    <w:p>
      <w:pPr>
        <w:pStyle w:val="FirstParagraph"/>
      </w:pPr>
      <w:r>
        <w:t xml:space="preserve">This breakdown clearly illustrates the distribution of emissions across different scopes.</w:t>
      </w:r>
    </w:p>
    <w:p>
      <w:pPr>
        <w:numPr>
          <w:ilvl w:val="0"/>
          <w:numId w:val="1011"/>
        </w:numPr>
        <w:pStyle w:val="Compact"/>
      </w:pPr>
      <w:r>
        <w:rPr>
          <w:bCs/>
          <w:b/>
        </w:rPr>
        <w:t xml:space="preserve">Scope 1 Emissions:</w:t>
      </w:r>
      <w:r>
        <w:t xml:space="preserve"> </w:t>
      </w:r>
      <w:r>
        <w:t xml:space="preserve">0.0 kgCO2e/unit (Assuming no direct combustion or process emissions at the factory gate for this product in this illustrative example).</w:t>
      </w:r>
    </w:p>
    <w:p>
      <w:pPr>
        <w:numPr>
          <w:ilvl w:val="0"/>
          <w:numId w:val="1011"/>
        </w:numPr>
        <w:pStyle w:val="Compact"/>
      </w:pPr>
      <w:r>
        <w:rPr>
          <w:bCs/>
          <w:b/>
        </w:rPr>
        <w:t xml:space="preserve">Scope 2 Emissions:</w:t>
      </w:r>
      <w:r>
        <w:t xml:space="preserve"> </w:t>
      </w:r>
      <w:r>
        <w:t xml:space="preserve">3.0 kgCO2e/unit (From purchased electricity for manufacturing).</w:t>
      </w:r>
    </w:p>
    <w:p>
      <w:pPr>
        <w:numPr>
          <w:ilvl w:val="0"/>
          <w:numId w:val="1011"/>
        </w:numPr>
        <w:pStyle w:val="Compact"/>
      </w:pPr>
      <w:r>
        <w:rPr>
          <w:bCs/>
          <w:b/>
        </w:rPr>
        <w:t xml:space="preserve">Scope 3 Emissions:</w:t>
      </w:r>
      <w:r>
        <w:t xml:space="preserve"> </w:t>
      </w:r>
      <w:r>
        <w:t xml:space="preserve">28.066 kgCO2e/unit (Comprising materials, all transportation, use phase, and end-of-life).</w:t>
      </w:r>
    </w:p>
    <w:p>
      <w:pPr>
        <w:pStyle w:val="FirstParagraph"/>
      </w:pPr>
      <w:r>
        <w:rPr>
          <w:bCs/>
          <w:b/>
        </w:rPr>
        <w:t xml:space="preserve">Total Product Carbon Footprint:</w:t>
      </w:r>
      <w:r>
        <w:t xml:space="preserve"> </w:t>
      </w:r>
      <w:r>
        <w:t xml:space="preserve">31.066 kgCO2e/unit.</w:t>
      </w:r>
    </w:p>
    <w:p>
      <w:pPr>
        <w:pStyle w:val="BodyText"/>
      </w:pPr>
      <w:r>
        <w:rPr>
          <w:bCs/>
          <w:b/>
        </w:rPr>
        <w:t xml:space="preserve">Scope 3 Coverage:</w:t>
      </w:r>
      <w:r>
        <w:t xml:space="preserve"> </w:t>
      </w:r>
      <w:r>
        <w:t xml:space="preserve">With the detailed inclusion of upstream materials, transportation, use phase, and end-of-life, the Scope 3 reporting in this analysis exceeds the 95% coverage requirement for 2026, providing a comprehensive view of the product\'s value chain emissions.</w:t>
      </w:r>
    </w:p>
    <w:bookmarkEnd w:id="33"/>
    <w:bookmarkStart w:id="34" w:name="emission-hotspots"/>
    <w:p>
      <w:pPr>
        <w:pStyle w:val="Heading3"/>
      </w:pPr>
      <w:r>
        <w:t xml:space="preserve">4.3. Emission Hotspots</w:t>
      </w:r>
    </w:p>
    <w:p>
      <w:pPr>
        <w:pStyle w:val="FirstParagraph"/>
      </w:pPr>
      <w:r>
        <w:t xml:space="preserve">The analysis reveals the following major emission hotspots:</w:t>
      </w:r>
    </w:p>
    <w:p>
      <w:pPr>
        <w:numPr>
          <w:ilvl w:val="0"/>
          <w:numId w:val="1012"/>
        </w:numPr>
        <w:pStyle w:val="Compact"/>
      </w:pPr>
      <w:r>
        <w:rPr>
          <w:bCs/>
          <w:b/>
        </w:rPr>
        <w:t xml:space="preserve">Use Phase (25.0 kgCO2e):</w:t>
      </w:r>
      <w:r>
        <w:t xml:space="preserve"> </w:t>
      </w:r>
      <w:r>
        <w:t xml:space="preserve">This is by far the largest contributor, accounting for approximately 80.5% of the total PCF. The energy consumption during the product\'s 5-year lifespan dominates the footprint.</w:t>
      </w:r>
    </w:p>
    <w:p>
      <w:pPr>
        <w:numPr>
          <w:ilvl w:val="0"/>
          <w:numId w:val="1012"/>
        </w:numPr>
        <w:pStyle w:val="Compact"/>
      </w:pPr>
      <w:r>
        <w:rPr>
          <w:bCs/>
          <w:b/>
        </w:rPr>
        <w:t xml:space="preserve">Raw Materials Acquisition &amp; Pre-processing (2.705 kgCO2e):</w:t>
      </w:r>
      <w:r>
        <w:t xml:space="preserve"> </w:t>
      </w:r>
      <w:r>
        <w:t xml:space="preserve">Materials contribute approximately 8.7% of the total footprint, with steel casing and ABS plastic housing being significant due to their inherent emission factors and quantities.</w:t>
      </w:r>
    </w:p>
    <w:p>
      <w:pPr>
        <w:numPr>
          <w:ilvl w:val="0"/>
          <w:numId w:val="1012"/>
        </w:numPr>
        <w:pStyle w:val="Compact"/>
      </w:pPr>
      <w:r>
        <w:rPr>
          <w:bCs/>
          <w:b/>
        </w:rPr>
        <w:t xml:space="preserve">Manufacturing Energy (3.0 kgCO2e):</w:t>
      </w:r>
      <w:r>
        <w:t xml:space="preserve"> </w:t>
      </w:r>
      <w:r>
        <w:t xml:space="preserve">Purchased electricity for production represents about 9.7% of the total.</w:t>
      </w:r>
    </w:p>
    <w:p>
      <w:r>
        <w:pict>
          <v:rect style="width:0;height:1.5pt" o:hralign="center" o:hrstd="t" o:hr="t"/>
        </w:pict>
      </w:r>
    </w:p>
    <w:bookmarkEnd w:id="34"/>
    <w:bookmarkEnd w:id="35"/>
    <w:bookmarkStart w:id="38" w:name="review-recommendations"/>
    <w:p>
      <w:pPr>
        <w:pStyle w:val="Heading2"/>
      </w:pPr>
      <w:r>
        <w:t xml:space="preserve">5. Review &amp; Recommendations</w:t>
      </w:r>
    </w:p>
    <w:bookmarkStart w:id="36" w:name="reliability-assessment"/>
    <w:p>
      <w:pPr>
        <w:pStyle w:val="Heading3"/>
      </w:pPr>
      <w:r>
        <w:t xml:space="preserve">5.1. Reliability Assessment</w:t>
      </w:r>
    </w:p>
    <w:p>
      <w:pPr>
        <w:pStyle w:val="FirstParagraph"/>
      </w:pPr>
      <w:r>
        <w:t xml:space="preserve">The reliability of this PCF analysis is considered high, given the use of a detailed Bill of Materials, specific operational data (energy intensity, renewable energy usage, product lifespan, energy in use, recyclability), and the application of industry-standard emission factors from reputable sources (e.g., Ecoinvent, DEFRA data for general transport/energy, as simulated here). The comprehensive Scope 3 coverage enhances the robustness of the assessment.</w:t>
      </w:r>
    </w:p>
    <w:bookmarkEnd w:id="36"/>
    <w:bookmarkStart w:id="37" w:name="recommendations-for-emission-reduction"/>
    <w:p>
      <w:pPr>
        <w:pStyle w:val="Heading3"/>
      </w:pPr>
      <w:r>
        <w:t xml:space="preserve">5.2. Recommendations for Emission Reduction</w:t>
      </w:r>
    </w:p>
    <w:p>
      <w:pPr>
        <w:pStyle w:val="FirstParagraph"/>
      </w:pPr>
      <w:r>
        <w:t xml:space="preserve">Based on the identified hotspots, the following recommendations are provided to</w:t>
      </w:r>
      <w:r>
        <w:t xml:space="preserve"> </w:t>
      </w:r>
      <w:r>
        <w:rPr>
          <w:bCs/>
          <w:b/>
        </w:rPr>
        <w:t xml:space="preserve">updnjhrfrw</w:t>
      </w:r>
      <w:r>
        <w:t xml:space="preserve"> </w:t>
      </w:r>
      <w:r>
        <w:t xml:space="preserve">for reducing the carbon footprint of</w:t>
      </w:r>
      <w:r>
        <w:t xml:space="preserve"> </w:t>
      </w:r>
      <w:r>
        <w:rPr>
          <w:bCs/>
          <w:b/>
        </w:rPr>
        <w:t xml:space="preserve">tsyinmhoqd</w:t>
      </w:r>
      <w:r>
        <w:t xml:space="preserve">:</w:t>
      </w:r>
    </w:p>
    <w:p>
      <w:pPr>
        <w:numPr>
          <w:ilvl w:val="0"/>
          <w:numId w:val="1013"/>
        </w:numPr>
        <w:pStyle w:val="Compact"/>
      </w:pPr>
      <w:r>
        <w:rPr>
          <w:bCs/>
          <w:b/>
        </w:rPr>
        <w:t xml:space="preserve">Optimizing Use Phase Energy Efficiency:</w:t>
      </w:r>
      <w:r>
        <w:t xml:space="preserve"> </w:t>
      </w:r>
      <w:r>
        <w:t xml:space="preserve">Given that the use phase is the dominant hotspot, investing in more energy-efficient product designs is paramount. This could involve using lower-power components, implementing intelligent power management features, or providing clear guidelines to end-users on energy-saving operation.</w:t>
      </w:r>
    </w:p>
    <w:p>
      <w:pPr>
        <w:numPr>
          <w:ilvl w:val="0"/>
          <w:numId w:val="1013"/>
        </w:numPr>
        <w:pStyle w:val="Compact"/>
      </w:pPr>
      <w:r>
        <w:rPr>
          <w:bCs/>
          <w:b/>
        </w:rPr>
        <w:t xml:space="preserve">Increasing Renewable Energy in Production:</w:t>
      </w:r>
      <w:r>
        <w:t xml:space="preserve"> </w:t>
      </w:r>
      <w:r>
        <w:t xml:space="preserve">While 50% renewable energy usage is commendable, further increasing the share of renewable energy at the manufacturing facility in China (Scope 2) could significantly reduce emissions from the production phase. This could involve direct renewable energy procurement or investments in on-site generation.</w:t>
      </w:r>
    </w:p>
    <w:p>
      <w:pPr>
        <w:numPr>
          <w:ilvl w:val="0"/>
          <w:numId w:val="1013"/>
        </w:numPr>
        <w:pStyle w:val="Compact"/>
      </w:pPr>
      <w:r>
        <w:rPr>
          <w:bCs/>
          <w:b/>
        </w:rPr>
        <w:t xml:space="preserve">Sustainable Material Sourcing:</w:t>
      </w:r>
      <w:r>
        <w:t xml:space="preserve"> </w:t>
      </w:r>
      <w:r>
        <w:t xml:space="preserve">Investigate opportunities to source lower-carbon alternative materials for components like steel and plastics. This could involve using recycled content, bio-based alternatives, or materials produced with lower energy intensity and higher renewable energy integration. Collaboration with suppliers to reduce their upstream emissions (Scope 3) is key.</w:t>
      </w:r>
    </w:p>
    <w:p>
      <w:pPr>
        <w:numPr>
          <w:ilvl w:val="0"/>
          <w:numId w:val="1013"/>
        </w:numPr>
        <w:pStyle w:val="Compact"/>
      </w:pPr>
      <w:r>
        <w:rPr>
          <w:bCs/>
          <w:b/>
        </w:rPr>
        <w:t xml:space="preserve">Enhancing Circularity:</w:t>
      </w:r>
      <w:r>
        <w:t xml:space="preserve"> </w:t>
      </w:r>
      <w:r>
        <w:t xml:space="preserve">Continue to strengthen circular/take-back programs and explore designs for ease of disassembly, repairability, and higher recyclability beyond 70%. Extending product lifespan through durability improvements also avoids the emissions associated with producing replacement units.</w:t>
      </w:r>
    </w:p>
    <w:p>
      <w:pPr>
        <w:numPr>
          <w:ilvl w:val="0"/>
          <w:numId w:val="1013"/>
        </w:numPr>
        <w:pStyle w:val="Compact"/>
      </w:pPr>
      <w:r>
        <w:rPr>
          <w:bCs/>
          <w:b/>
        </w:rPr>
        <w:t xml:space="preserve">Optimizing Logistics:</w:t>
      </w:r>
      <w:r>
        <w:t xml:space="preserve"> </w:t>
      </w:r>
      <w:r>
        <w:t xml:space="preserve">While a smaller hotspot, continuous optimization of transportation routes and modes, particularly for long-distance shipping and last-mile delivery, can contribute to reductions. This includes exploring electric vehicles for last-mile and optimizing container loading for efficiency.</w:t>
      </w:r>
    </w:p>
    <w:p>
      <w:r>
        <w:pict>
          <v:rect style="width:0;height:1.5pt" o:hralign="center" o:hrstd="t" o:hr="t"/>
        </w:pict>
      </w:r>
    </w:p>
    <w:bookmarkEnd w:id="37"/>
    <w:bookmarkEnd w:id="38"/>
    <w:bookmarkStart w:id="39" w:name="conclusion"/>
    <w:p>
      <w:pPr>
        <w:pStyle w:val="Heading2"/>
      </w:pPr>
      <w:r>
        <w:t xml:space="preserve">6. Conclusion</w:t>
      </w:r>
    </w:p>
    <w:p>
      <w:pPr>
        <w:pStyle w:val="FirstParagraph"/>
      </w:pPr>
      <w:r>
        <w:t xml:space="preserve">The Product Carbon Footprint for</w:t>
      </w:r>
      <w:r>
        <w:t xml:space="preserve"> </w:t>
      </w:r>
      <w:r>
        <w:rPr>
          <w:bCs/>
          <w:b/>
        </w:rPr>
        <w:t xml:space="preserve">tsyinmhoqd</w:t>
      </w:r>
      <w:r>
        <w:t xml:space="preserve"> </w:t>
      </w:r>
      <w:r>
        <w:t xml:space="preserve">is estimated at</w:t>
      </w:r>
      <w:r>
        <w:t xml:space="preserve"> </w:t>
      </w:r>
      <w:r>
        <w:rPr>
          <w:bCs/>
          <w:b/>
        </w:rPr>
        <w:t xml:space="preserve">31.066 kgCO2e per unit</w:t>
      </w:r>
      <w:r>
        <w:t xml:space="preserve">, with the majority of emissions stemming from the product\'s use phase. By focusing strategic efforts on enhancing energy efficiency during product usage, further decarbonizing manufacturing energy, and advancing sustainable material sourcing and circularity,</w:t>
      </w:r>
      <w:r>
        <w:t xml:space="preserve"> </w:t>
      </w:r>
      <w:r>
        <w:rPr>
          <w:bCs/>
          <w:b/>
        </w:rPr>
        <w:t xml:space="preserve">updnjhrfrw</w:t>
      </w:r>
      <w:r>
        <w:t xml:space="preserve"> </w:t>
      </w:r>
      <w:r>
        <w:t xml:space="preserve">has significant opportunities to reduce the environmental impact of</w:t>
      </w:r>
      <w:r>
        <w:t xml:space="preserve"> </w:t>
      </w:r>
      <w:r>
        <w:rPr>
          <w:bCs/>
          <w:b/>
        </w:rPr>
        <w:t xml:space="preserve">tsyinmhoqd</w:t>
      </w:r>
      <w:r>
        <w:t xml:space="preserve"> </w:t>
      </w:r>
      <w:r>
        <w:t xml:space="preserve">and align with global sustainability goals. This report serves as a foundational step in identifying these opportunities and guiding future actions.</w:t>
      </w:r>
    </w:p>
    <w:p>
      <w:pPr>
        <w:pStyle w:val="BodyText"/>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tsyinmhoqd</dc:title>
  <dc:creator/>
  <dc:description>Detailed Product Carbon Footprint (PCF) analysis report for product tsyinmhoqd by updnjhrfrw, adhering to GHG Protocol and 2026 LSR Update, prepared by Senior Sustainability Consultant xunhthqfsn.</dc:description>
  <dc:language>en</dc:language>
  <cp:keywords/>
  <dcterms:created xsi:type="dcterms:W3CDTF">2026-07-15T02:14:53Z</dcterms:created>
  <dcterms:modified xsi:type="dcterms:W3CDTF">2026-07-15T02:14:53Z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