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tsouyuklzt</w:t>
      </w:r>
    </w:p>
    <w:p>
      <w:pPr>
        <w:pStyle w:val="FirstParagraph"/>
      </w:pPr>
      <w:r>
        <w:rPr>
          <w:bCs/>
          <w:b/>
        </w:rPr>
        <w:t xml:space="preserve">carboncalcpcf.com</w:t>
      </w:r>
    </w:p>
    <w:bookmarkStart w:id="21" w:name="product-carbon-footprint-analysis-report"/>
    <w:p>
      <w:pPr>
        <w:pStyle w:val="Heading1"/>
      </w:pPr>
      <w:r>
        <w:t xml:space="preserve">Product Carbon Footprint Analysis Report</w:t>
      </w:r>
    </w:p>
    <w:bookmarkStart w:id="20" w:name="for-tsouyuklzt"/>
    <w:p>
      <w:pPr>
        <w:pStyle w:val="Heading2"/>
      </w:pPr>
      <w:r>
        <w:t xml:space="preserve">for tsouyuklzt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xwpujjyxho</w:t>
      </w:r>
    </w:p>
    <w:p>
      <w:pPr>
        <w:pStyle w:val="BodyText"/>
      </w:pPr>
      <w:r>
        <w:rPr>
          <w:bCs/>
          <w:b/>
        </w:rPr>
        <w:t xml:space="preserve">Senior Sustainability Consultant:</w:t>
      </w:r>
      <w:r>
        <w:t xml:space="preserve"> </w:t>
      </w:r>
      <w:r>
        <w:t xml:space="preserve">tqkyqffrgv</w:t>
      </w:r>
    </w:p>
    <w:p>
      <w:pPr>
        <w:pStyle w:val="BodyText"/>
      </w:pPr>
      <w:r>
        <w:rPr>
          <w:iCs/>
          <w:i/>
        </w:rPr>
        <w:t xml:space="preserve">Disclaimer: This report is generated based on available data and industry standards. Actual values may vary and require further in-depth primary data collection.</w:t>
      </w:r>
    </w:p>
    <w:bookmarkEnd w:id="20"/>
    <w:bookmarkEnd w:id="21"/>
    <w:bookmarkStart w:id="48" w:name="Xda2aba6d18af79c5329e962b0683d4160e9c4a0"/>
    <w:p>
      <w:pPr>
        <w:pStyle w:val="Heading1"/>
      </w:pPr>
      <w:r>
        <w:t xml:space="preserve">Product Carbon Footprint Analysis for tsouyuklzt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"tsouyuklzt" manufactured by xwpujjyxho. The analysis adheres strictly to the GHG Protocol accounting standard, incorporating the 2026 Land Sector and Removals (LSR) Standard and ensuring comprehensive Scope 3 coverage. Conducted by tqkyqffrgv, Senior Sustainability Consultant, this study evaluates greenhouse gas emissions across the product\'s lifecycle, from material extraction to end-of-life, to identify key emission hotspots and provide a foundation for targeted reduction strategies. Due to the nature of the provided parameters (variable names instead of specific data), this report details the methodology and provides illustrative examples of how the given parameters would be integrated into the calculation, rather than presenting exact numerical results. Actual detailed calculations would require the precise numerical inputs for each parameter.</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a PCF analysis is to clearly define the scope of the study to ensure consistency and comparability.</w:t>
      </w:r>
    </w:p>
    <w:p>
      <w:pPr>
        <w:numPr>
          <w:ilvl w:val="0"/>
          <w:numId w:val="1001"/>
        </w:numPr>
        <w:pStyle w:val="Compact"/>
      </w:pPr>
      <w:r>
        <w:rPr>
          <w:bCs/>
          <w:b/>
        </w:rPr>
        <w:t xml:space="preserve">Functional Unit:</w:t>
      </w:r>
      <w:r>
        <w:t xml:space="preserve"> </w:t>
      </w:r>
      <w:r>
        <w:t xml:space="preserve">The functional unit for this analysis is 1.0 unit of "tsouyuklzt." This unit serves as the reference basis for all quantified inputs and outputs.</w:t>
      </w:r>
    </w:p>
    <w:p>
      <w:pPr>
        <w:numPr>
          <w:ilvl w:val="0"/>
          <w:numId w:val="1001"/>
        </w:numPr>
        <w:pStyle w:val="Compact"/>
      </w:pPr>
      <w:r>
        <w:rPr>
          <w:bCs/>
          <w:b/>
        </w:rPr>
        <w:t xml:space="preserve">System Boundary:</w:t>
      </w:r>
      <w:r>
        <w:t xml:space="preserve"> </w:t>
      </w:r>
      <w:r>
        <w:t xml:space="preserve">The system boundary is set as "factory_gate." This means the analysis primarily focuses on emissions occurring up to the point the product leaves the manufacturing facility. However, in alignment with the GHG Protocol\'s comprehensive approach and 2026 requirements, upstream (material acquisition, pre-processing, transport to factory) and downstream (transport from factory, use phase, end-of-life) emissions are also assessed as part of Scope 3.</w:t>
      </w:r>
    </w:p>
    <w:p>
      <w:pPr>
        <w:numPr>
          <w:ilvl w:val="0"/>
          <w:numId w:val="1001"/>
        </w:numPr>
        <w:pStyle w:val="Compact"/>
      </w:pPr>
      <w:r>
        <w:rPr>
          <w:bCs/>
          <w:b/>
        </w:rPr>
        <w:t xml:space="preserve">Geographic Scope:</w:t>
      </w:r>
      <w:r>
        <w:t xml:space="preserve"> </w:t>
      </w:r>
      <w:r>
        <w:t xml:space="preserve">The final production country is China, with a specific focus on the supply chain within Europe. This geographic delineation helps in selecting appropriate regional emission factors for energy and transport.</w:t>
      </w:r>
    </w:p>
    <w:p>
      <w:pPr>
        <w:numPr>
          <w:ilvl w:val="0"/>
          <w:numId w:val="1001"/>
        </w:numPr>
        <w:pStyle w:val="Compact"/>
      </w:pPr>
      <w:r>
        <w:rPr>
          <w:bCs/>
          <w:b/>
        </w:rPr>
        <w:t xml:space="preserve">Accounting Standard:</w:t>
      </w:r>
      <w:r>
        <w:t xml:space="preserve"> </w:t>
      </w:r>
      <w:r>
        <w:t xml:space="preserve">The analysis strictly follows the GHG Protocol Product Standard, ensuring categorization of emissions into Scope 1 (direct), Scope 2 (purchased energy), and Scope 3 (value chain) for transparent reporting. The 2026 Land Sector and Removals (LSR) Standard is also applied for relevant land-use and carbon removal impacts.</w:t>
      </w:r>
    </w:p>
    <w:p>
      <w:pPr>
        <w:numPr>
          <w:ilvl w:val="0"/>
          <w:numId w:val="1001"/>
        </w:numPr>
        <w:pStyle w:val="Compact"/>
      </w:pPr>
      <w:r>
        <w:rPr>
          <w:bCs/>
          <w:b/>
        </w:rPr>
        <w:t xml:space="preserve">Allocation:</w:t>
      </w:r>
      <w:r>
        <w:t xml:space="preserve"> </w:t>
      </w:r>
      <w:r>
        <w:t xml:space="preserve">For multi-output processes or shared infrastructure, allocation methodologies (e.g., mass-based, economic-based) would be applied to attribute environmental burdens fairly to the functional unit. Specific allocation details are not provided in the parameters, but in a full study, this would be determined and documented.</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"tsouyuklzt" is mapped into distinct stages, forming the basis for the Life Cycle Inventory (LCI) data collection.</w:t>
      </w:r>
    </w:p>
    <w:bookmarkStart w:id="24" w:name="X1198c8af25dd1a2ebffa686809674f976343a37"/>
    <w:p>
      <w:pPr>
        <w:pStyle w:val="Heading3"/>
      </w:pPr>
      <w:r>
        <w:t xml:space="preserve">2.1. Material Acquisition &amp; Pre-processing (Scope 3 - Upstream)</w:t>
      </w:r>
    </w:p>
    <w:p>
      <w:pPr>
        <w:pStyle w:val="FirstParagraph"/>
      </w:pPr>
      <w:r>
        <w:t xml:space="preserve">This stage includes the extraction of raw materials, their initial processing, and the manufacturing of components as specified in the Bill of Materials (BOM).</w:t>
      </w:r>
    </w:p>
    <w:bookmarkEnd w:id="24"/>
    <w:bookmarkStart w:id="25" w:name="Xbb3fa870ce487b79f0034ad9f1f0315a8c63d34"/>
    <w:p>
      <w:pPr>
        <w:pStyle w:val="Heading3"/>
      </w:pPr>
      <w:r>
        <w:t xml:space="preserve">2.2. Manufacturing / Production (Scope 1, Scope 2, Scope 3 - Upstream)</w:t>
      </w:r>
    </w:p>
    <w:p>
      <w:pPr>
        <w:pStyle w:val="FirstParagraph"/>
      </w:pPr>
      <w:r>
        <w:t xml:space="preserve">This stage covers all activities within the xwpujjyxho\'s facility in China, including energy consumption for machinery, heating, and cooling, as well as direct emissions from on-site processes.</w:t>
      </w:r>
    </w:p>
    <w:bookmarkEnd w:id="25"/>
    <w:bookmarkStart w:id="26" w:name="transport-to-market-scope-3---downstream"/>
    <w:p>
      <w:pPr>
        <w:pStyle w:val="Heading3"/>
      </w:pPr>
      <w:r>
        <w:t xml:space="preserve">2.3. Transport to Market (Scope 3 - Downstream)</w:t>
      </w:r>
    </w:p>
    <w:p>
      <w:pPr>
        <w:pStyle w:val="FirstParagraph"/>
      </w:pPr>
      <w:r>
        <w:t xml:space="preserve">This includes the transportation of the finished product from the factory gate to the consumer or distribution centers, considering primary and last-mile delivery modes.</w:t>
      </w:r>
    </w:p>
    <w:bookmarkEnd w:id="26"/>
    <w:bookmarkStart w:id="27" w:name="use-phase-scope-3---downstream"/>
    <w:p>
      <w:pPr>
        <w:pStyle w:val="Heading3"/>
      </w:pPr>
      <w:r>
        <w:t xml:space="preserve">2.4. Use Phase (Scope 3 - Downstream)</w:t>
      </w:r>
    </w:p>
    <w:p>
      <w:pPr>
        <w:pStyle w:val="FirstParagraph"/>
      </w:pPr>
      <w:r>
        <w:t xml:space="preserve">The emissions associated with the product\'s energy consumption during its active lifespan by the end-user.</w:t>
      </w:r>
    </w:p>
    <w:bookmarkEnd w:id="27"/>
    <w:bookmarkStart w:id="28" w:name="end-of-life-eol-scope-3---downstream"/>
    <w:p>
      <w:pPr>
        <w:pStyle w:val="Heading3"/>
      </w:pPr>
      <w:r>
        <w:t xml:space="preserve">2.5. End-of-Life (EoL) (Scope 3 - Downstream)</w:t>
      </w:r>
    </w:p>
    <w:p>
      <w:pPr>
        <w:pStyle w:val="FirstParagraph"/>
      </w:pPr>
      <w:r>
        <w:t xml:space="preserve">This stage addresses the emissions and potential avoided emissions from the disposal, recycling, or recovery of the product at the end of its useful life.</w:t>
      </w:r>
    </w:p>
    <w:p>
      <w:r>
        <w:pict>
          <v:rect style="width:0;height:1.5pt" o:hralign="center" o:hrstd="t" o:hr="t"/>
        </w:pict>
      </w:r>
    </w:p>
    <w:bookmarkEnd w:id="28"/>
    <w:bookmarkEnd w:id="29"/>
    <w:bookmarkStart w:id="35" w:name="Xb57f50a89bf1f3f1837369be949d9d60d6c1272"/>
    <w:p>
      <w:pPr>
        <w:pStyle w:val="Heading2"/>
      </w:pPr>
      <w:r>
        <w:t xml:space="preserve">3. Collect Data (Primary/Secondary Data Points)</w:t>
      </w:r>
    </w:p>
    <w:p>
      <w:pPr>
        <w:pStyle w:val="FirstParagraph"/>
      </w:pPr>
      <w:r>
        <w:t xml:space="preserve">Data collection is a critical step, using both primary data from xwpujjyxho and secondary data from reputable databases for generic processes and emission factors.</w:t>
      </w:r>
    </w:p>
    <w:bookmarkStart w:id="30" w:name="detailed-bill-of-materials-bom-data"/>
    <w:p>
      <w:pPr>
        <w:pStyle w:val="Heading3"/>
      </w:pPr>
      <w:r>
        <w:t xml:space="preserve">3.1. Detailed Bill of Materials (BOM) Data</w:t>
      </w:r>
    </w:p>
    <w:p>
      <w:pPr>
        <w:pStyle w:val="FirstParagraph"/>
      </w:pPr>
      <w:r>
        <w:t xml:space="preserve">The analysis incorporates the provided detailed Bill of Materials (flzkmdtl) for high-accuracy material impact calculation. The BOM data is structured as follows, with illustrative data representing how the actual values would be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Plastic Granule 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Corrugated Board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bl>
    <w:p>
      <w:pPr>
        <w:pStyle w:val="BodyText"/>
      </w:pPr>
      <w:r>
        <w:rPr>
          <w:iCs/>
          <w:i/>
        </w:rPr>
        <w:t xml:space="preserve">Note: The "Emission Factor" and "Total Carbon" values in this table are illustrative. In the actual analysis, the specific values from the provided `flzkmdtl` parameter would be directly used for each item.</w:t>
      </w:r>
    </w:p>
    <w:bookmarkEnd w:id="30"/>
    <w:bookmarkStart w:id="31" w:name="production-energy-data"/>
    <w:p>
      <w:pPr>
        <w:pStyle w:val="Heading3"/>
      </w:pPr>
      <w:r>
        <w:t xml:space="preserve">3.2. Production Energy Data</w:t>
      </w:r>
    </w:p>
    <w:p>
      <w:pPr>
        <w:numPr>
          <w:ilvl w:val="0"/>
          <w:numId w:val="1002"/>
        </w:numPr>
        <w:pStyle w:val="Compact"/>
      </w:pPr>
      <w:r>
        <w:rPr>
          <w:bCs/>
          <w:b/>
        </w:rPr>
        <w:t xml:space="preserve">Renewable Energy Usage (sjsqgivuqr):</w:t>
      </w:r>
      <w:r>
        <w:t xml:space="preserve"> </w:t>
      </w:r>
      <w:r>
        <w:t xml:space="preserve">The percentage of renewable energy used in the production process. This significantly impacts the Scope 2 emissions. A higher percentage of renewables leads to lower grid electricity emission factors.</w:t>
      </w:r>
    </w:p>
    <w:p>
      <w:pPr>
        <w:numPr>
          <w:ilvl w:val="0"/>
          <w:numId w:val="1002"/>
        </w:numPr>
        <w:pStyle w:val="Compact"/>
      </w:pPr>
      <w:r>
        <w:rPr>
          <w:bCs/>
          <w:b/>
        </w:rPr>
        <w:t xml:space="preserve">Energy Intensity (xrkfvwnuns):</w:t>
      </w:r>
      <w:r>
        <w:t xml:space="preserve"> </w:t>
      </w:r>
      <w:r>
        <w:t xml:space="preserve">The energy consumed per unit of product manufactured (kWh/unit). This primary data point is crucial for calculating production phase emissions.</w:t>
      </w:r>
    </w:p>
    <w:bookmarkEnd w:id="31"/>
    <w:bookmarkStart w:id="32" w:name="logistics-data"/>
    <w:p>
      <w:pPr>
        <w:pStyle w:val="Heading3"/>
      </w:pPr>
      <w:r>
        <w:t xml:space="preserve">3.3. Logistics Data</w:t>
      </w:r>
    </w:p>
    <w:p>
      <w:pPr>
        <w:numPr>
          <w:ilvl w:val="0"/>
          <w:numId w:val="1003"/>
        </w:numPr>
        <w:pStyle w:val="Compact"/>
      </w:pPr>
      <w:r>
        <w:rPr>
          <w:bCs/>
          <w:b/>
        </w:rPr>
        <w:t xml:space="preserve">Transport Mode (Select Mode):</w:t>
      </w:r>
      <w:r>
        <w:t xml:space="preserve"> </w:t>
      </w:r>
      <w:r>
        <w:t xml:space="preserve">The primary mode of transport (e.g., sea freight, road transport, air freight) for the product from the factory to the market.</w:t>
      </w:r>
    </w:p>
    <w:p>
      <w:pPr>
        <w:numPr>
          <w:ilvl w:val="0"/>
          <w:numId w:val="1003"/>
        </w:numPr>
        <w:pStyle w:val="Compact"/>
      </w:pPr>
      <w:r>
        <w:rPr>
          <w:bCs/>
          <w:b/>
        </w:rPr>
        <w:t xml:space="preserve">Transport Distance (nenihpxdzp):</w:t>
      </w:r>
      <w:r>
        <w:t xml:space="preserve"> </w:t>
      </w:r>
      <w:r>
        <w:t xml:space="preserve">The total distance covered during transport, typically in km.</w:t>
      </w:r>
    </w:p>
    <w:p>
      <w:pPr>
        <w:numPr>
          <w:ilvl w:val="0"/>
          <w:numId w:val="1003"/>
        </w:numPr>
        <w:pStyle w:val="Compact"/>
      </w:pPr>
      <w:r>
        <w:rPr>
          <w:bCs/>
          <w:b/>
        </w:rPr>
        <w:t xml:space="preserve">Last-Mile Delivery Channel (Delivery Type):</w:t>
      </w:r>
      <w:r>
        <w:t xml:space="preserve"> </w:t>
      </w:r>
      <w:r>
        <w:t xml:space="preserve">The specific method used for the final leg of delivery (e.g., courier van, postal service, direct to consumer).</w:t>
      </w:r>
    </w:p>
    <w:bookmarkEnd w:id="32"/>
    <w:bookmarkStart w:id="33" w:name="use-phase-data"/>
    <w:p>
      <w:pPr>
        <w:pStyle w:val="Heading3"/>
      </w:pPr>
      <w:r>
        <w:t xml:space="preserve">3.4. Use Phase Data</w:t>
      </w:r>
    </w:p>
    <w:p>
      <w:pPr>
        <w:numPr>
          <w:ilvl w:val="0"/>
          <w:numId w:val="1004"/>
        </w:numPr>
        <w:pStyle w:val="Compact"/>
      </w:pPr>
      <w:r>
        <w:rPr>
          <w:bCs/>
          <w:b/>
        </w:rPr>
        <w:t xml:space="preserve">Product Lifespan (vhlylhovyg):</w:t>
      </w:r>
      <w:r>
        <w:t xml:space="preserve"> </w:t>
      </w:r>
      <w:r>
        <w:t xml:space="preserve">The expected duration of the product\'s use (e.g., in years). This affects the total energy consumption over the product\'s lifetime.</w:t>
      </w:r>
    </w:p>
    <w:p>
      <w:pPr>
        <w:numPr>
          <w:ilvl w:val="0"/>
          <w:numId w:val="1004"/>
        </w:numPr>
        <w:pStyle w:val="Compact"/>
      </w:pPr>
      <w:r>
        <w:rPr>
          <w:bCs/>
          <w:b/>
        </w:rPr>
        <w:t xml:space="preserve">Energy Consumption in Use (xqpsmgyiyw):</w:t>
      </w:r>
      <w:r>
        <w:t xml:space="preserve"> </w:t>
      </w:r>
      <w:r>
        <w:t xml:space="preserve">The annual or per-use energy consumption of the product (e.g., kWh/year).</w:t>
      </w:r>
    </w:p>
    <w:bookmarkEnd w:id="33"/>
    <w:bookmarkStart w:id="34" w:name="end-of-life-eol-data"/>
    <w:p>
      <w:pPr>
        <w:pStyle w:val="Heading3"/>
      </w:pPr>
      <w:r>
        <w:t xml:space="preserve">3.5. End-of-Life (EoL) Data</w:t>
      </w:r>
    </w:p>
    <w:p>
      <w:pPr>
        <w:numPr>
          <w:ilvl w:val="0"/>
          <w:numId w:val="1005"/>
        </w:numPr>
        <w:pStyle w:val="Compact"/>
      </w:pPr>
      <w:r>
        <w:rPr>
          <w:bCs/>
          <w:b/>
        </w:rPr>
        <w:t xml:space="preserve">Recyclability Percentage (yfpdxoxulu):</w:t>
      </w:r>
      <w:r>
        <w:t xml:space="preserve"> </w:t>
      </w:r>
      <w:r>
        <w:t xml:space="preserve">The percentage of the product\'s materials that are technically recyclable. This influences avoided emissions calculations.</w:t>
      </w:r>
    </w:p>
    <w:p>
      <w:pPr>
        <w:numPr>
          <w:ilvl w:val="0"/>
          <w:numId w:val="1005"/>
        </w:numPr>
        <w:pStyle w:val="Compact"/>
      </w:pPr>
      <w:r>
        <w:rPr>
          <w:bCs/>
          <w:b/>
        </w:rPr>
        <w:t xml:space="preserve">Circular/Take-back Programs (jstegwmnvn):</w:t>
      </w:r>
      <w:r>
        <w:t xml:space="preserve"> </w:t>
      </w:r>
      <w:r>
        <w:t xml:space="preserve">Information on existing circularity initiatives, which can lead to reduced waste and improved material recovery rates, thereby reducing EoL emissions and potentially crediting avoided emissions.</w:t>
      </w:r>
    </w:p>
    <w:p>
      <w:r>
        <w:pict>
          <v:rect style="width:0;height:1.5pt" o:hralign="center" o:hrstd="t" o:hr="t"/>
        </w:pict>
      </w:r>
    </w:p>
    <w:bookmarkEnd w:id="34"/>
    <w:bookmarkEnd w:id="35"/>
    <w:bookmarkStart w:id="43" w:name="Xb404f6bea4a0013006ec7a9103609d9ea6643c1"/>
    <w:p>
      <w:pPr>
        <w:pStyle w:val="Heading2"/>
      </w:pPr>
      <w:r>
        <w:t xml:space="preserve">4. Calculate Emissions (Activity * Emission Factor = CO2e)</w:t>
      </w:r>
    </w:p>
    <w:p>
      <w:pPr>
        <w:pStyle w:val="FirstParagraph"/>
      </w:pPr>
      <w:r>
        <w:t xml:space="preserve">Emissions are calculated by multiplying activity data (e.g., kg of material, kWh of energy, km of transport) by relevant emission factors. Industry-standard emission factors from databases such as Ecoinvent and DEFRA are applied. Emissions are categorized according to the GHG Protocol.</w:t>
      </w:r>
    </w:p>
    <w:bookmarkStart w:id="41" w:name="ghg-protocol-scopes-breakdown"/>
    <w:p>
      <w:pPr>
        <w:pStyle w:val="Heading3"/>
      </w:pPr>
      <w:r>
        <w:t xml:space="preserve">4.1. GHG Protocol Scopes Breakdown</w:t>
      </w:r>
    </w:p>
    <w:p>
      <w:pPr>
        <w:pStyle w:val="FirstParagraph"/>
      </w:pPr>
      <w:r>
        <w:t xml:space="preserve">This PCF analysis explicitly categorizes emissions into Scope 1, Scope 2, and Scope 3 as per GHG Protocol requirements. The 2026 LSR Standard is integrated for land sector emissions and removals. The GHG Protocol proposes a prescriptive completeness requirement where companies would need to account for and report at least 95% of total required Scope 3 emissions.</w:t>
      </w:r>
    </w:p>
    <w:bookmarkStart w:id="36" w:name="scope-1-direct-emissions"/>
    <w:p>
      <w:pPr>
        <w:pStyle w:val="Heading4"/>
      </w:pPr>
      <w:r>
        <w:t xml:space="preserve">Scope 1: Direct Emissions</w:t>
      </w:r>
    </w:p>
    <w:p>
      <w:pPr>
        <w:pStyle w:val="FirstParagraph"/>
      </w:pPr>
      <w:r>
        <w:t xml:space="preserve">These are direct greenhouse gas emissions from sources owned or controlled by xwpujjyxho. For a "factory_gate" system boundary, this typically includes on-site fuel combustion for heating, power generation, or manufacturing processes. Without specific data for direct combustion within the parameters, it\'s assumed to be minimal or nil for this illustrative calculation, but would be captured if present.</w:t>
      </w:r>
    </w:p>
    <w:p>
      <w:pPr>
        <w:numPr>
          <w:ilvl w:val="0"/>
          <w:numId w:val="1006"/>
        </w:numPr>
        <w:pStyle w:val="Compact"/>
      </w:pPr>
      <w:r>
        <w:rPr>
          <w:bCs/>
          <w:b/>
        </w:rPr>
        <w:t xml:space="preserve">Illustrative Calculation:</w:t>
      </w:r>
      <w:r>
        <w:t xml:space="preserve"> </w:t>
      </w:r>
      <w:r>
        <w:t xml:space="preserve">If 100 liters of diesel were burned on-site, using a DEFRA emission factor of 2.63 kg CO2e/liter, Scope 1 emissions would be 263 kg CO2e.</w:t>
      </w:r>
    </w:p>
    <w:bookmarkEnd w:id="36"/>
    <w:bookmarkStart w:id="37" w:name="scope-2-energy-indirect-emissions"/>
    <w:p>
      <w:pPr>
        <w:pStyle w:val="Heading4"/>
      </w:pPr>
      <w:r>
        <w:t xml:space="preserve">Scope 2: Energy Indirect Emissions</w:t>
      </w:r>
    </w:p>
    <w:p>
      <w:pPr>
        <w:pStyle w:val="FirstParagraph"/>
      </w:pPr>
      <w:r>
        <w:t xml:space="preserve">These are emissions from the generation of purchased electricity, heat, or steam consumed by xwpujjyxho. The \'Energy Intensity (xrkfvwnuns)\' and \'Renewable Energy Usage (sjsqgivuqr)\' parameters are critical here.</w:t>
      </w:r>
    </w:p>
    <w:p>
      <w:pPr>
        <w:numPr>
          <w:ilvl w:val="0"/>
          <w:numId w:val="1007"/>
        </w:numPr>
        <w:pStyle w:val="Compact"/>
      </w:pPr>
      <w:r>
        <w:rPr>
          <w:bCs/>
          <w:b/>
        </w:rPr>
        <w:t xml:space="preserve">Illustrative Calculation:</w:t>
      </w:r>
    </w:p>
    <w:p>
      <w:pPr>
        <w:numPr>
          <w:ilvl w:val="1"/>
          <w:numId w:val="1008"/>
        </w:numPr>
        <w:pStyle w:val="Compact"/>
      </w:pPr>
      <w:r>
        <w:t xml:space="preserve">Assume Energy Intensity (xrkfvwnuns) = 5 kWh/unit.</w:t>
      </w:r>
    </w:p>
    <w:p>
      <w:pPr>
        <w:numPr>
          <w:ilvl w:val="1"/>
          <w:numId w:val="1008"/>
        </w:numPr>
        <w:pStyle w:val="Compact"/>
      </w:pPr>
      <w:r>
        <w:t xml:space="preserve">Assume Renewable Energy Usage (sjsqgivuqr) = 60%.</w:t>
      </w:r>
    </w:p>
    <w:p>
      <w:pPr>
        <w:numPr>
          <w:ilvl w:val="1"/>
          <w:numId w:val="1008"/>
        </w:numPr>
        <w:pStyle w:val="Compact"/>
      </w:pPr>
      <w:r>
        <w:t xml:space="preserve">The remaining 40% (2 kWh/unit) would come from the grid.</w:t>
      </w:r>
    </w:p>
    <w:p>
      <w:pPr>
        <w:numPr>
          <w:ilvl w:val="1"/>
          <w:numId w:val="1008"/>
        </w:numPr>
        <w:pStyle w:val="Compact"/>
      </w:pPr>
      <w:r>
        <w:t xml:space="preserve">If the China grid emission factor is approximately 0.556 to 0.609 kg CO2e/kWh, using an illustrative 0.6 kg CO2e/kWh, then Scope 2 emissions would be 2 kWh/unit * 0.6 kg CO2e/kWh = 1.2 kg CO2e/unit.</w:t>
      </w:r>
    </w:p>
    <w:bookmarkEnd w:id="37"/>
    <w:bookmarkStart w:id="40" w:name="Xd1c2b652bc5876514f180a21f002993b8de8e83"/>
    <w:p>
      <w:pPr>
        <w:pStyle w:val="Heading4"/>
      </w:pPr>
      <w:r>
        <w:t xml:space="preserve">Scope 3: Other Indirect Emissions (Value Chain)</w:t>
      </w:r>
    </w:p>
    <w:p>
      <w:pPr>
        <w:pStyle w:val="FirstParagraph"/>
      </w:pPr>
      <w:r>
        <w:t xml:space="preserve">This is the most extensive category for a PCF, encompassing all other indirect emissions up and down the value chain. The target of at least 95% coverage for Scope 3 reporting, as per 2026 requirements, is a key focus. The analysis will cover categories relevant to the product\'s lifecycle.</w:t>
      </w:r>
    </w:p>
    <w:bookmarkStart w:id="38" w:name="upstream-emissions-scope-3"/>
    <w:p>
      <w:pPr>
        <w:pStyle w:val="Heading5"/>
      </w:pPr>
      <w:r>
        <w:t xml:space="preserve">4.1.1. Upstream Emissions (Scope 3)</w:t>
      </w:r>
    </w:p>
    <w:p>
      <w:pPr>
        <w:numPr>
          <w:ilvl w:val="0"/>
          <w:numId w:val="1009"/>
        </w:numPr>
        <w:pStyle w:val="Compact"/>
      </w:pPr>
      <w:r>
        <w:rPr>
          <w:bCs/>
          <w:b/>
        </w:rPr>
        <w:t xml:space="preserve">Purchased Goods and Services (Materials):</w:t>
      </w:r>
      <w:r>
        <w:t xml:space="preserve"> </w:t>
      </w:r>
      <w:r>
        <w:t xml:space="preserve">Calculated using the detailed BOM (flzkmdtl). Each material\'s quantity is multiplied by its specific Cradle-to-Gate emission factor.</w:t>
      </w:r>
    </w:p>
    <w:p>
      <w:pPr>
        <w:numPr>
          <w:ilvl w:val="1"/>
          <w:numId w:val="1010"/>
        </w:numPr>
        <w:pStyle w:val="Compact"/>
      </w:pPr>
      <w:r>
        <w:rPr>
          <w:bCs/>
          <w:b/>
        </w:rPr>
        <w:t xml:space="preserve">Illustrative Calculation (from BOM table):</w:t>
      </w:r>
    </w:p>
    <w:p>
      <w:pPr>
        <w:numPr>
          <w:ilvl w:val="2"/>
          <w:numId w:val="1011"/>
        </w:numPr>
        <w:pStyle w:val="Compact"/>
      </w:pPr>
      <w:r>
        <w:t xml:space="preserve">Aluminum Casing: 0.5 kg * 10.0 kg CO2e/kg = 5.0 kg CO2e.</w:t>
      </w:r>
    </w:p>
    <w:p>
      <w:pPr>
        <w:numPr>
          <w:ilvl w:val="2"/>
          <w:numId w:val="1011"/>
        </w:numPr>
        <w:pStyle w:val="Compact"/>
      </w:pPr>
      <w:r>
        <w:t xml:space="preserve">ABS Plastic Components: 0.2 kg * 3.5 kg CO2e/kg = 0.7 kg CO2e.</w:t>
      </w:r>
    </w:p>
    <w:p>
      <w:pPr>
        <w:numPr>
          <w:ilvl w:val="2"/>
          <w:numId w:val="1011"/>
        </w:numPr>
        <w:pStyle w:val="Compact"/>
      </w:pPr>
      <w:r>
        <w:t xml:space="preserve">Total material emissions would be the sum of all \'Total Carbon\' values from the BOM.</w:t>
      </w:r>
    </w:p>
    <w:p>
      <w:pPr>
        <w:numPr>
          <w:ilvl w:val="0"/>
          <w:numId w:val="1009"/>
        </w:numPr>
        <w:pStyle w:val="Compact"/>
      </w:pPr>
      <w:r>
        <w:rPr>
          <w:bCs/>
          <w:b/>
        </w:rPr>
        <w:t xml:space="preserve">Upstream Transportation and Distribution:</w:t>
      </w:r>
      <w:r>
        <w:t xml:space="preserve"> </w:t>
      </w:r>
      <w:r>
        <w:t xml:space="preserve">Emissions from transporting raw materials and components to the xwpujjyxho factory. This is often embedded in the material emission factors in the BOM or calculated separately.</w:t>
      </w:r>
    </w:p>
    <w:p>
      <w:pPr>
        <w:numPr>
          <w:ilvl w:val="0"/>
          <w:numId w:val="1009"/>
        </w:numPr>
        <w:pStyle w:val="Compact"/>
      </w:pPr>
      <w:r>
        <w:rPr>
          <w:bCs/>
          <w:b/>
        </w:rPr>
        <w:t xml:space="preserve">Waste Generated in Operations:</w:t>
      </w:r>
      <w:r>
        <w:t xml:space="preserve"> </w:t>
      </w:r>
      <w:r>
        <w:t xml:space="preserve">Emissions from the disposal and treatment of waste generated during manufacturing.</w:t>
      </w:r>
    </w:p>
    <w:bookmarkEnd w:id="38"/>
    <w:bookmarkStart w:id="39" w:name="downstream-emissions-scope-3"/>
    <w:p>
      <w:pPr>
        <w:pStyle w:val="Heading5"/>
      </w:pPr>
      <w:r>
        <w:t xml:space="preserve">4.1.2. Downstream Emissions (Scope 3)</w:t>
      </w:r>
    </w:p>
    <w:p>
      <w:pPr>
        <w:numPr>
          <w:ilvl w:val="0"/>
          <w:numId w:val="1012"/>
        </w:numPr>
        <w:pStyle w:val="Compact"/>
      </w:pPr>
      <w:r>
        <w:rPr>
          <w:bCs/>
          <w:b/>
        </w:rPr>
        <w:t xml:space="preserve">Transportation and Distribution (Post-Factory Gate):</w:t>
      </w:r>
      <w:r>
        <w:t xml:space="preserve"> </w:t>
      </w:r>
      <w:r>
        <w:t xml:space="preserve">Emissions from \'Transport Mode (Select Mode)\', \'Transport Distance (nenihpxdzp)\', and \'Last-Mile Delivery Channel (Delivery Type)\'.</w:t>
      </w:r>
    </w:p>
    <w:p>
      <w:pPr>
        <w:numPr>
          <w:ilvl w:val="1"/>
          <w:numId w:val="1013"/>
        </w:numPr>
        <w:pStyle w:val="Compact"/>
      </w:pPr>
      <w:r>
        <w:rPr>
          <w:bCs/>
          <w:b/>
        </w:rPr>
        <w:t xml:space="preserve">Illustrative Calculation:</w:t>
      </w:r>
    </w:p>
    <w:p>
      <w:pPr>
        <w:numPr>
          <w:ilvl w:val="2"/>
          <w:numId w:val="1014"/>
        </w:numPr>
        <w:pStyle w:val="Compact"/>
      </w:pPr>
      <w:r>
        <w:t xml:space="preserve">If \'Select Mode\' is sea freight, \'nenihpxdzp\' is 10,000 km, and the product weight is 1 kg (0.001 tonne).</w:t>
      </w:r>
    </w:p>
    <w:p>
      <w:pPr>
        <w:numPr>
          <w:ilvl w:val="2"/>
          <w:numId w:val="1014"/>
        </w:numPr>
        <w:pStyle w:val="Compact"/>
      </w:pPr>
      <w:r>
        <w:t xml:space="preserve">Sea freight (container ship) emission factor: approximately 0.016 kg CO2e/tonne-km. Thus, 0.001 tonne * 10,000 km * 0.016 kg CO2e/tonne-km = 0.16 kg CO2e.</w:t>
      </w:r>
    </w:p>
    <w:p>
      <w:pPr>
        <w:numPr>
          <w:ilvl w:val="2"/>
          <w:numId w:val="1014"/>
        </w:numPr>
        <w:pStyle w:val="Compact"/>
      </w:pPr>
      <w:r>
        <w:t xml:space="preserve">If \'Delivery Type\' is road freight for 500 km. Road freight (heavy duty truck) emission factor: approximately 0.09 kg CO2e/tonne-km. Thus, 0.001 tonne * 500 km * 0.09 kg CO2e/tonne-km = 0.045 kg CO2e.</w:t>
      </w:r>
    </w:p>
    <w:p>
      <w:pPr>
        <w:numPr>
          <w:ilvl w:val="2"/>
          <w:numId w:val="1014"/>
        </w:numPr>
        <w:pStyle w:val="Compact"/>
      </w:pPr>
      <w:r>
        <w:t xml:space="preserve">Total transport emissions would be the sum.</w:t>
      </w:r>
    </w:p>
    <w:p>
      <w:pPr>
        <w:numPr>
          <w:ilvl w:val="0"/>
          <w:numId w:val="1012"/>
        </w:numPr>
        <w:pStyle w:val="Compact"/>
      </w:pPr>
      <w:r>
        <w:rPr>
          <w:bCs/>
          <w:b/>
        </w:rPr>
        <w:t xml:space="preserve">Use of Sold Products:</w:t>
      </w:r>
      <w:r>
        <w:t xml:space="preserve"> </w:t>
      </w:r>
      <w:r>
        <w:t xml:space="preserve">Calculated based on \'Product Lifespan (vhlylhovyg)\' and \'Energy Consumption in Use (xqpsmgyiyw)\'.</w:t>
      </w:r>
    </w:p>
    <w:p>
      <w:pPr>
        <w:numPr>
          <w:ilvl w:val="1"/>
          <w:numId w:val="1015"/>
        </w:numPr>
        <w:pStyle w:val="Compact"/>
      </w:pPr>
      <w:r>
        <w:rPr>
          <w:bCs/>
          <w:b/>
        </w:rPr>
        <w:t xml:space="preserve">Illustrative Calculation:</w:t>
      </w:r>
    </w:p>
    <w:p>
      <w:pPr>
        <w:numPr>
          <w:ilvl w:val="2"/>
          <w:numId w:val="1016"/>
        </w:numPr>
        <w:pStyle w:val="Compact"/>
      </w:pPr>
      <w:r>
        <w:t xml:space="preserve">If \'vhlylhovyg\' = 5 years and \'xqpsmgyiyw\' = 10 kWh/year.</w:t>
      </w:r>
    </w:p>
    <w:p>
      <w:pPr>
        <w:numPr>
          <w:ilvl w:val="2"/>
          <w:numId w:val="1016"/>
        </w:numPr>
        <w:pStyle w:val="Compact"/>
      </w:pPr>
      <w:r>
        <w:t xml:space="preserve">Assuming an average grid emission factor for the use region (e.g., Europe) of approximately 0.238 to 0.380 kg CO2e/kWh, using an illustrative 0.3 kg CO2e/kWh.</w:t>
      </w:r>
    </w:p>
    <w:p>
      <w:pPr>
        <w:numPr>
          <w:ilvl w:val="2"/>
          <w:numId w:val="1016"/>
        </w:numPr>
        <w:pStyle w:val="Compact"/>
      </w:pPr>
      <w:r>
        <w:t xml:space="preserve">Total use phase emissions = 5 years * 10 kWh/year * 0.3 kg CO2e/kWh = 15 kg CO2e.</w:t>
      </w:r>
    </w:p>
    <w:p>
      <w:pPr>
        <w:numPr>
          <w:ilvl w:val="0"/>
          <w:numId w:val="1012"/>
        </w:numPr>
        <w:pStyle w:val="Compact"/>
      </w:pPr>
      <w:r>
        <w:rPr>
          <w:bCs/>
          <w:b/>
        </w:rPr>
        <w:t xml:space="preserve">End-of-Life Treatment of Sold Products:</w:t>
      </w:r>
      <w:r>
        <w:t xml:space="preserve"> </w:t>
      </w:r>
      <w:r>
        <w:t xml:space="preserve">Accounts for emissions from landfilling, incineration, recycling, or composting, influenced by \'Recyclability Percentage (yfpdxoxulu)\' and \'Circular/Take-back Programs (jstegwmnvn)\'.</w:t>
      </w:r>
    </w:p>
    <w:p>
      <w:pPr>
        <w:numPr>
          <w:ilvl w:val="1"/>
          <w:numId w:val="1017"/>
        </w:numPr>
        <w:pStyle w:val="Compact"/>
      </w:pPr>
      <w:r>
        <w:rPr>
          <w:bCs/>
          <w:b/>
        </w:rPr>
        <w:t xml:space="preserve">Illustrative Calculation:</w:t>
      </w:r>
    </w:p>
    <w:p>
      <w:pPr>
        <w:numPr>
          <w:ilvl w:val="2"/>
          <w:numId w:val="1018"/>
        </w:numPr>
        <w:pStyle w:val="Compact"/>
      </w:pPr>
      <w:r>
        <w:t xml:space="preserve">If a 0.2 kg plastic component from the BOM (M002) is not recycled (100% landfill for simplicity in this example) despite a \'Recyclability Percentage (yfpdxoxulu)\' of 80%.</w:t>
      </w:r>
    </w:p>
    <w:p>
      <w:pPr>
        <w:numPr>
          <w:ilvl w:val="2"/>
          <w:numId w:val="1018"/>
        </w:numPr>
        <w:pStyle w:val="Compact"/>
      </w:pPr>
      <w:r>
        <w:t xml:space="preserve">Landfill emission factor for plastic: approximately 0.033 kg CO2e/kg (or 33 kg CO2e/tonne).</w:t>
      </w:r>
    </w:p>
    <w:p>
      <w:pPr>
        <w:numPr>
          <w:ilvl w:val="2"/>
          <w:numId w:val="1018"/>
        </w:numPr>
        <w:pStyle w:val="Compact"/>
      </w:pPr>
      <w:r>
        <w:t xml:space="preserve">Emissions from landfilling 0.2 kg of plastic: 0.2 kg * 0.033 kg CO2e/kg = 0.0066 kg CO2e.</w:t>
      </w:r>
    </w:p>
    <w:p>
      <w:pPr>
        <w:numPr>
          <w:ilvl w:val="2"/>
          <w:numId w:val="1018"/>
        </w:numPr>
        <w:pStyle w:val="Compact"/>
      </w:pPr>
      <w:r>
        <w:t xml:space="preserve">Avoided emissions from recycling (e.g., if the 80% recyclable material is indeed recycled) would be credited based on the primary production emission factor offset by recycling. The effectiveness of \'Circular/Take-back Programs (jstegwmnvn)\' would enhance these avoided emissions.</w:t>
      </w:r>
    </w:p>
    <w:bookmarkEnd w:id="39"/>
    <w:bookmarkEnd w:id="40"/>
    <w:bookmarkEnd w:id="41"/>
    <w:bookmarkStart w:id="42" w:name="X7ef73fe3d39a8d84fae696b42f814aa0d860ec0"/>
    <w:p>
      <w:pPr>
        <w:pStyle w:val="Heading3"/>
      </w:pPr>
      <w:r>
        <w:t xml:space="preserve">4.2. 2026 LSR Update (Land Sector and Removals Standard)</w:t>
      </w:r>
    </w:p>
    <w:p>
      <w:pPr>
        <w:pStyle w:val="FirstParagraph"/>
      </w:pPr>
      <w:r>
        <w:t xml:space="preserve">In line with the 2026 LSR Standard, the analysis would identify and quantify land-based emissions and removals attributable to "tsouyuklzt." This includes:</w:t>
      </w:r>
    </w:p>
    <w:p>
      <w:pPr>
        <w:numPr>
          <w:ilvl w:val="0"/>
          <w:numId w:val="1019"/>
        </w:numPr>
        <w:pStyle w:val="Compact"/>
      </w:pPr>
      <w:r>
        <w:rPr>
          <w:bCs/>
          <w:b/>
        </w:rPr>
        <w:t xml:space="preserve">Land Use Change:</w:t>
      </w:r>
      <w:r>
        <w:t xml:space="preserve"> </w:t>
      </w:r>
      <w:r>
        <w:t xml:space="preserve">Emissions or removals from changes in land use (e.g., deforestation for material sourcing or land disturbance for manufacturing facilities).</w:t>
      </w:r>
    </w:p>
    <w:p>
      <w:pPr>
        <w:numPr>
          <w:ilvl w:val="0"/>
          <w:numId w:val="1019"/>
        </w:numPr>
        <w:pStyle w:val="Compact"/>
      </w:pPr>
      <w:r>
        <w:rPr>
          <w:bCs/>
          <w:b/>
        </w:rPr>
        <w:t xml:space="preserve">Biogenic Carbon:</w:t>
      </w:r>
      <w:r>
        <w:t xml:space="preserve"> </w:t>
      </w:r>
      <w:r>
        <w:t xml:space="preserve">Carbon stored or released from biomass (e.g., wood products, agricultural feedstocks). This analysis would account for biogenic carbon flows, distinguishing between short-cycle and long-cycle biogenic carbon.</w:t>
      </w:r>
    </w:p>
    <w:p>
      <w:pPr>
        <w:numPr>
          <w:ilvl w:val="0"/>
          <w:numId w:val="1019"/>
        </w:numPr>
        <w:pStyle w:val="Compact"/>
      </w:pPr>
      <w:r>
        <w:rPr>
          <w:bCs/>
          <w:b/>
        </w:rPr>
        <w:t xml:space="preserve">Carbon Removals:</w:t>
      </w:r>
      <w:r>
        <w:t xml:space="preserve"> </w:t>
      </w:r>
      <w:r>
        <w:t xml:space="preserve">Quantification of any deliberate carbon removals, such as through sustainable forestry practices linked to the product\'s biomass inputs or specific carbon capture technologies in the supply chain.</w:t>
      </w:r>
    </w:p>
    <w:p>
      <w:pPr>
        <w:pStyle w:val="FirstParagraph"/>
      </w:pPr>
      <w:r>
        <w:rPr>
          <w:iCs/>
          <w:i/>
        </w:rPr>
        <w:t xml:space="preserve">Note: Without specific land-use data related to the BOM or processes, detailed LSR calculations cannot be performed here, but the methodology would be applied to any relevant inputs.</w:t>
      </w:r>
    </w:p>
    <w:p>
      <w:r>
        <w:pict>
          <v:rect style="width:0;height:1.5pt" o:hralign="center" o:hrstd="t" o:hr="t"/>
        </w:pict>
      </w:r>
    </w:p>
    <w:bookmarkEnd w:id="42"/>
    <w:bookmarkEnd w:id="43"/>
    <w:bookmarkStart w:id="46" w:name="review-report"/>
    <w:p>
      <w:pPr>
        <w:pStyle w:val="Heading2"/>
      </w:pPr>
      <w:r>
        <w:t xml:space="preserve">5. Review &amp; Report</w:t>
      </w:r>
    </w:p>
    <w:p>
      <w:pPr>
        <w:pStyle w:val="FirstParagraph"/>
      </w:pPr>
      <w:r>
        <w:t xml:space="preserve">Upon completion of calculations, the results undergo review to identify emission hotspots and assess data reliability.</w:t>
      </w:r>
    </w:p>
    <w:bookmarkStart w:id="44" w:name="hotspot-identification"/>
    <w:p>
      <w:pPr>
        <w:pStyle w:val="Heading3"/>
      </w:pPr>
      <w:r>
        <w:t xml:space="preserve">5.1. Hotspot Identification</w:t>
      </w:r>
    </w:p>
    <w:p>
      <w:pPr>
        <w:pStyle w:val="FirstParagraph"/>
      </w:pPr>
      <w:r>
        <w:t xml:space="preserve">The analysis aims to identify the stages and components of "tsouyuklzt" that contribute most significantly to its overall carbon footprint. Based on the illustrative calculations, common hotspots often include:</w:t>
      </w:r>
    </w:p>
    <w:p>
      <w:pPr>
        <w:numPr>
          <w:ilvl w:val="0"/>
          <w:numId w:val="1020"/>
        </w:numPr>
        <w:pStyle w:val="Compact"/>
      </w:pPr>
      <w:r>
        <w:rPr>
          <w:bCs/>
          <w:b/>
        </w:rPr>
        <w:t xml:space="preserve">Material Production:</w:t>
      </w:r>
      <w:r>
        <w:t xml:space="preserve"> </w:t>
      </w:r>
      <w:r>
        <w:t xml:space="preserve">High-impact materials (e.g., primary metals, certain plastics) frequently dominate the footprint, especially in the upstream Scope 3 category.</w:t>
      </w:r>
    </w:p>
    <w:p>
      <w:pPr>
        <w:numPr>
          <w:ilvl w:val="0"/>
          <w:numId w:val="1020"/>
        </w:numPr>
        <w:pStyle w:val="Compact"/>
      </w:pPr>
      <w:r>
        <w:rPr>
          <w:bCs/>
          <w:b/>
        </w:rPr>
        <w:t xml:space="preserve">Energy Consumption in Manufacturing:</w:t>
      </w:r>
      <w:r>
        <w:t xml:space="preserve"> </w:t>
      </w:r>
      <w:r>
        <w:t xml:space="preserve">If grid electricity is carbon-intensive and renewable energy usage (sjsqgivuqr) is low, Scope 2 emissions can be substantial.</w:t>
      </w:r>
    </w:p>
    <w:p>
      <w:pPr>
        <w:numPr>
          <w:ilvl w:val="0"/>
          <w:numId w:val="1020"/>
        </w:numPr>
        <w:pStyle w:val="Compact"/>
      </w:pPr>
      <w:r>
        <w:rPr>
          <w:bCs/>
          <w:b/>
        </w:rPr>
        <w:t xml:space="preserve">Use Phase Energy:</w:t>
      </w:r>
      <w:r>
        <w:t xml:space="preserve"> </w:t>
      </w:r>
      <w:r>
        <w:t xml:space="preserve">For energy-consuming products, the \'Energy Consumption in Use (xqpsmgyiyw)\' over the \'Product Lifespan (vhlylhovyg)\' can be a major driver of the total footprint.</w:t>
      </w:r>
    </w:p>
    <w:p>
      <w:pPr>
        <w:numPr>
          <w:ilvl w:val="0"/>
          <w:numId w:val="1020"/>
        </w:numPr>
        <w:pStyle w:val="Compact"/>
      </w:pPr>
      <w:r>
        <w:rPr>
          <w:bCs/>
          <w:b/>
        </w:rPr>
        <w:t xml:space="preserve">Transportation:</w:t>
      </w:r>
      <w:r>
        <w:t xml:space="preserve"> </w:t>
      </w:r>
      <w:r>
        <w:t xml:space="preserve">Long distances (\'nenihpxdzp\') or high-carbon modes (\'Select Mode\' like air freight) can contribute significantly.</w:t>
      </w:r>
    </w:p>
    <w:bookmarkEnd w:id="44"/>
    <w:bookmarkStart w:id="45" w:name="data-reliability-and-limitations"/>
    <w:p>
      <w:pPr>
        <w:pStyle w:val="Heading3"/>
      </w:pPr>
      <w:r>
        <w:t xml:space="preserve">5.2. Data Reliability and Limitations</w:t>
      </w:r>
    </w:p>
    <w:p>
      <w:pPr>
        <w:pStyle w:val="FirstParagraph"/>
      </w:pPr>
      <w:r>
        <w:t xml:space="preserve">The reliability of the PCF is directly linked to the quality and specificity of the input data. Primary data (e.g., actual energy consumption, precise BOM) offers higher accuracy. Secondary data (e.g., generic emission factors) is used where primary data is unavailable, with an understanding that it introduces some uncertainty. The illustrative nature of the calculations in this report highlights the need for precise numerical inputs for each parameter to achieve a definitive PCF result. The GHG Protocol updates for 2026 emphasize a shift towards mandatory data disaggregation by source type (primary vs. secondary) to improve data quality and transparency.</w:t>
      </w:r>
    </w:p>
    <w:p>
      <w:r>
        <w:pict>
          <v:rect style="width:0;height:1.5pt" o:hralign="center" o:hrstd="t" o:hr="t"/>
        </w:pict>
      </w:r>
    </w:p>
    <w:bookmarkEnd w:id="45"/>
    <w:bookmarkEnd w:id="46"/>
    <w:bookmarkStart w:id="47" w:name="conclusion-and-recommendations"/>
    <w:p>
      <w:pPr>
        <w:pStyle w:val="Heading2"/>
      </w:pPr>
      <w:r>
        <w:t xml:space="preserve">Conclusion and Recommendations</w:t>
      </w:r>
    </w:p>
    <w:p>
      <w:pPr>
        <w:pStyle w:val="FirstParagraph"/>
      </w:pPr>
      <w:r>
        <w:t xml:space="preserve">This high-detail PCF analysis framework for "tsouyuklzt" underscores xwpujjyxho\'s commitment to transparent environmental reporting under the GHG Protocol and the 2026 LSR Standard. By systematically breaking down the product\'s lifecycle and applying the specified parameters, even illustratively, we can pinpoint potential areas for carbon reduction.</w:t>
      </w:r>
    </w:p>
    <w:p>
      <w:pPr>
        <w:pStyle w:val="BodyText"/>
      </w:pPr>
      <w:r>
        <w:rPr>
          <w:bCs/>
          <w:b/>
        </w:rPr>
        <w:t xml:space="preserve">Key Recommendations (based on typical hotspots and parameters):</w:t>
      </w:r>
    </w:p>
    <w:p>
      <w:pPr>
        <w:numPr>
          <w:ilvl w:val="0"/>
          <w:numId w:val="1021"/>
        </w:numPr>
        <w:pStyle w:val="Compact"/>
      </w:pPr>
      <w:r>
        <w:rPr>
          <w:bCs/>
          <w:b/>
        </w:rPr>
        <w:t xml:space="preserve">Material Optimization:</w:t>
      </w:r>
      <w:r>
        <w:t xml:space="preserve"> </w:t>
      </w:r>
      <w:r>
        <w:t xml:space="preserve">Prioritize the use of lower-carbon materials, recycled content (leveraging \'Recyclability Percentage (yfpdxoxulu)\'), and materials sourced with sustainable land management practices (addressing LSR).</w:t>
      </w:r>
    </w:p>
    <w:p>
      <w:pPr>
        <w:numPr>
          <w:ilvl w:val="0"/>
          <w:numId w:val="1021"/>
        </w:numPr>
        <w:pStyle w:val="Compact"/>
      </w:pPr>
      <w:r>
        <w:rPr>
          <w:bCs/>
          <w:b/>
        </w:rPr>
        <w:t xml:space="preserve">Renewable Energy Transition:</w:t>
      </w:r>
      <w:r>
        <w:t xml:space="preserve"> </w:t>
      </w:r>
      <w:r>
        <w:t xml:space="preserve">Increase the \'Renewable Energy Usage (sjsqgivuqr)\' in manufacturing facilities in China to further reduce Scope 2 emissions.</w:t>
      </w:r>
    </w:p>
    <w:p>
      <w:pPr>
        <w:numPr>
          <w:ilvl w:val="0"/>
          <w:numId w:val="1021"/>
        </w:numPr>
        <w:pStyle w:val="Compact"/>
      </w:pPr>
      <w:r>
        <w:rPr>
          <w:bCs/>
          <w:b/>
        </w:rPr>
        <w:t xml:space="preserve">Energy Efficiency in Production:</w:t>
      </w:r>
      <w:r>
        <w:t xml:space="preserve"> </w:t>
      </w:r>
      <w:r>
        <w:t xml:space="preserve">Implement measures to decrease \'Energy Intensity (xrkfvwnuns)\' during the manufacturing process.</w:t>
      </w:r>
    </w:p>
    <w:p>
      <w:pPr>
        <w:numPr>
          <w:ilvl w:val="0"/>
          <w:numId w:val="1021"/>
        </w:numPr>
        <w:pStyle w:val="Compact"/>
      </w:pPr>
      <w:r>
        <w:rPr>
          <w:bCs/>
          <w:b/>
        </w:rPr>
        <w:t xml:space="preserve">Sustainable Logistics:</w:t>
      </w:r>
      <w:r>
        <w:t xml:space="preserve"> </w:t>
      </w:r>
      <w:r>
        <w:t xml:space="preserve">Optimize \'Transport Mode (Select Mode)\' and routes to reduce \'Transport Distance (nenihpxdzp)\', prioritizing lower-emission modes like sea freight or rail over air freight, and exploring electric vehicles for \'Last-Mile Delivery Channel (Delivery Type)\'.</w:t>
      </w:r>
    </w:p>
    <w:p>
      <w:pPr>
        <w:numPr>
          <w:ilvl w:val="0"/>
          <w:numId w:val="1021"/>
        </w:numPr>
        <w:pStyle w:val="Compact"/>
      </w:pPr>
      <w:r>
        <w:rPr>
          <w:bCs/>
          <w:b/>
        </w:rPr>
        <w:t xml:space="preserve">Enhance Product Longevity &amp; Efficiency:</w:t>
      </w:r>
      <w:r>
        <w:t xml:space="preserve"> </w:t>
      </w:r>
      <w:r>
        <w:t xml:space="preserve">Design products for longer \'Product Lifespan (vhlylhovyg)\' and improve \'Energy Consumption in Use (xqpsmgyiyw)\' to mitigate use-phase impacts.</w:t>
      </w:r>
    </w:p>
    <w:p>
      <w:pPr>
        <w:numPr>
          <w:ilvl w:val="0"/>
          <w:numId w:val="1021"/>
        </w:numPr>
        <w:pStyle w:val="Compact"/>
      </w:pPr>
      <w:r>
        <w:rPr>
          <w:bCs/>
          <w:b/>
        </w:rPr>
        <w:t xml:space="preserve">Strengthen Circular Economy Initiatives:</w:t>
      </w:r>
      <w:r>
        <w:t xml:space="preserve"> </w:t>
      </w:r>
      <w:r>
        <w:t xml:space="preserve">Expand \'Circular/Take-back Programs (jstegwmnvn)\' to maximize material recovery and reduce waste, actively seeking to incorporate more closed-loop systems.</w:t>
      </w:r>
    </w:p>
    <w:p>
      <w:pPr>
        <w:pStyle w:val="FirstParagraph"/>
      </w:pPr>
      <w:r>
        <w:t xml:space="preserve">A complete numerical analysis based on the precise values for `flzkmdtl`, `nenihpxdzp`, `sjsqgivuqr`, `xrkfvwnuns`, `vhlylhovyg`, `xqpsmgyiyw`, `yfpdxoxulu`, `jstegwmnvn`, `Select Mode`, and `Delivery Type` would provide the definitive product carbon footprint and enable more granular strategic decision-making for emissions reduction.</w:t>
      </w:r>
    </w:p>
    <w:p>
      <w:pPr>
        <w:pStyle w:val="BodyText"/>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tsouyuklzt</dc:title>
  <dc:creator/>
  <dc:description>Detailed Product Carbon Footprint (PCF) analysis report for tsouyuklzt, following GHG Protocol standards and 2026 LSR updates, for company xwpujjyxho, conducted by tqkyqffrgv.</dc:description>
  <cp:keywords/>
  <dcterms:created xsi:type="dcterms:W3CDTF">2026-05-30T17:43:45Z</dcterms:created>
  <dcterms:modified xsi:type="dcterms:W3CDTF">2026-05-30T17:43:45Z</dcterms:modified>
</cp:coreProperties>
</file>

<file path=docProps/custom.xml><?xml version="1.0" encoding="utf-8"?>
<Properties xmlns="http://schemas.openxmlformats.org/officeDocument/2006/custom-properties" xmlns:vt="http://schemas.openxmlformats.org/officeDocument/2006/docPropsVTypes"/>
</file>