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tqvoqjetnn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tqvoqjetnn"/>
    <w:p>
      <w:pPr>
        <w:pStyle w:val="Heading2"/>
      </w:pPr>
      <w:r>
        <w:t xml:space="preserve">Product: tqvoqjetnn</w:t>
      </w:r>
    </w:p>
    <w:p>
      <w:pPr>
        <w:pStyle w:val="FirstParagraph"/>
      </w:pPr>
      <w:r>
        <w:rPr>
          <w:bCs/>
          <w:b/>
        </w:rPr>
        <w:t xml:space="preserve">Company Name:</w:t>
      </w:r>
      <w:r>
        <w:t xml:space="preserve"> </w:t>
      </w:r>
      <w:r>
        <w:t xml:space="preserve">xrgfmqijlp</w:t>
      </w:r>
    </w:p>
    <w:p>
      <w:pPr>
        <w:pStyle w:val="BodyText"/>
      </w:pPr>
      <w:r>
        <w:rPr>
          <w:bCs/>
          <w:b/>
        </w:rPr>
        <w:t xml:space="preserve">Senior Sustainability Consultant:</w:t>
      </w:r>
      <w:r>
        <w:t xml:space="preserve"> </w:t>
      </w:r>
      <w:r>
        <w:t xml:space="preserve">qlstxewhig</w:t>
      </w:r>
    </w:p>
    <w:p>
      <w:pPr>
        <w:pStyle w:val="BodyText"/>
      </w:pPr>
      <w:r>
        <w:rPr>
          <w:bCs/>
          <w:b/>
        </w:rPr>
        <w:t xml:space="preserve">Accounting Standard:</w:t>
      </w:r>
      <w:r>
        <w:t xml:space="preserve"> </w:t>
      </w:r>
      <w:r>
        <w:t xml:space="preserve">GHG Protocol</w:t>
      </w:r>
    </w:p>
    <w:p>
      <w:pPr>
        <w:pStyle w:val="BodyText"/>
      </w:pPr>
      <w:r>
        <w:br/>
      </w:r>
      <w:r>
        <w:br/>
      </w:r>
      <w:r>
        <w:br/>
      </w:r>
    </w:p>
    <w:p>
      <w:pPr>
        <w:pStyle w:val="BodyText"/>
      </w:pPr>
      <w:r>
        <w:t xml:space="preserve">This report is generated based on available data and industry standards. While every effort has been made to ensure accuracy, the calculations are illustrative and rely on the completeness and accuracy of the provided input parameters and representative emission factors. This report is intended for internal use and strategic planning.</w:t>
      </w:r>
    </w:p>
    <w:bookmarkEnd w:id="20"/>
    <w:bookmarkEnd w:id="21"/>
    <w:bookmarkStart w:id="49" w:name="Xa87d010c1fd868336511b306fbd202996615f12"/>
    <w:p>
      <w:pPr>
        <w:pStyle w:val="Heading1"/>
      </w:pPr>
      <w:r>
        <w:t xml:space="preserve">Product Carbon Footprint Analysis Report</w:t>
      </w:r>
    </w:p>
    <w:p>
      <w:pPr>
        <w:pStyle w:val="FirstParagraph"/>
      </w:pPr>
      <w:r>
        <w:rPr>
          <w:bCs/>
          <w:b/>
        </w:rPr>
        <w:t xml:space="preserve">Generated Date:</w:t>
      </w:r>
    </w:p>
    <w:p>
      <w:pPr>
        <w:pStyle w:val="BodyText"/>
      </w:pPr>
      <w:r>
        <w:rPr>
          <w:bCs/>
          <w:b/>
        </w:rPr>
        <w:t xml:space="preserve">Senior Sustainability Consultant:</w:t>
      </w:r>
      <w:r>
        <w:t xml:space="preserve"> </w:t>
      </w:r>
      <w:r>
        <w:t xml:space="preserve">qlstxewhig</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tqvoqjetnn</w:t>
      </w:r>
      <w:r>
        <w:t xml:space="preserve">, manufactured by</w:t>
      </w:r>
      <w:r>
        <w:t xml:space="preserve"> </w:t>
      </w:r>
      <w:r>
        <w:rPr>
          <w:bCs/>
          <w:b/>
        </w:rPr>
        <w:t xml:space="preserve">xrgfmqijlp</w:t>
      </w:r>
      <w:r>
        <w:t xml:space="preserve">. The analysis was conducted by Senior Sustainability Consultant</w:t>
      </w:r>
      <w:r>
        <w:t xml:space="preserve"> </w:t>
      </w:r>
      <w:r>
        <w:rPr>
          <w:bCs/>
          <w:b/>
        </w:rPr>
        <w:t xml:space="preserve">qlstxewhig</w:t>
      </w:r>
      <w:r>
        <w:t xml:space="preserve">, following the Greenhouse Gas (GHG) Protocol standards, with explicit consideration for the 2026 Land Sector and Removals (LSR) Standard update and a target of at least 95% Scope 3 coverage. The primary objective is to quantify the greenhouse gas emissions associated with the entire lifecycle of one functional unit of tqvoqjetnn, from raw material acquisition to end-of-life, to identify key emission hotspots and inform sustainability strategies.</w:t>
      </w:r>
    </w:p>
    <w:p>
      <w:r>
        <w:pict>
          <v:rect style="width:0;height:1.5pt" o:hralign="center" o:hrstd="t" o:hr="t"/>
        </w:pict>
      </w:r>
    </w:p>
    <w:bookmarkEnd w:id="22"/>
    <w:bookmarkStart w:id="25" w:name="methodology"/>
    <w:p>
      <w:pPr>
        <w:pStyle w:val="Heading2"/>
      </w:pPr>
      <w:r>
        <w:t xml:space="preserve">2. Methodology</w:t>
      </w:r>
    </w:p>
    <w:p>
      <w:pPr>
        <w:pStyle w:val="FirstParagraph"/>
      </w:pPr>
      <w:r>
        <w:t xml:space="preserve">The Product Carbon Footprint (PCF) analysis for tqvoqjetnn adheres strictly to the five-step methodology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describe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all identified stages.</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3" w:name="X63ceb8aa6185bd3fab3edb842dafce1e661be45"/>
    <w:p>
      <w:pPr>
        <w:pStyle w:val="Heading3"/>
      </w:pPr>
      <w:r>
        <w:t xml:space="preserve">2.1. Accounting Standard and Scope Categorization</w:t>
      </w:r>
    </w:p>
    <w:p>
      <w:pPr>
        <w:pStyle w:val="FirstParagraph"/>
      </w:pPr>
      <w:r>
        <w:t xml:space="preserve">This analysis is performed in accordance with the</w:t>
      </w:r>
      <w:r>
        <w:t xml:space="preserve"> </w:t>
      </w:r>
      <w:r>
        <w:rPr>
          <w:bCs/>
          <w:b/>
        </w:rPr>
        <w:t xml:space="preserve">GHG Protocol</w:t>
      </w:r>
      <w:r>
        <w:t xml:space="preserve">. Emissions are categorized as follows:</w:t>
      </w:r>
    </w:p>
    <w:p>
      <w:pPr>
        <w:numPr>
          <w:ilvl w:val="0"/>
          <w:numId w:val="1002"/>
        </w:numPr>
        <w:pStyle w:val="Compact"/>
      </w:pPr>
      <w:r>
        <w:rPr>
          <w:bCs/>
          <w:b/>
        </w:rPr>
        <w:t xml:space="preserve">Scope 1:</w:t>
      </w:r>
      <w:r>
        <w:t xml:space="preserve"> </w:t>
      </w:r>
      <w:r>
        <w:t xml:space="preserve">Direct GHG emissions from sources owned or controlled by</w:t>
      </w:r>
      <w:r>
        <w:t xml:space="preserve"> </w:t>
      </w:r>
      <w:r>
        <w:rPr>
          <w:bCs/>
          <w:b/>
        </w:rPr>
        <w:t xml:space="preserve">xrgfmqijlp</w:t>
      </w:r>
      <w:r>
        <w:t xml:space="preserve">.</w:t>
      </w:r>
    </w:p>
    <w:p>
      <w:pPr>
        <w:numPr>
          <w:ilvl w:val="0"/>
          <w:numId w:val="1002"/>
        </w:numPr>
        <w:pStyle w:val="Compact"/>
      </w:pPr>
      <w:r>
        <w:rPr>
          <w:bCs/>
          <w:b/>
        </w:rPr>
        <w:t xml:space="preserve">Scope 2:</w:t>
      </w:r>
      <w:r>
        <w:t xml:space="preserve"> </w:t>
      </w:r>
      <w:r>
        <w:t xml:space="preserve">Indirect GHG emissions from the generation of purchased electricity, steam, heating, or cooling consumed by</w:t>
      </w:r>
      <w:r>
        <w:t xml:space="preserve"> </w:t>
      </w:r>
      <w:r>
        <w:rPr>
          <w:bCs/>
          <w:b/>
        </w:rPr>
        <w:t xml:space="preserve">xrgfmqijlp</w:t>
      </w:r>
      <w:r>
        <w:t xml:space="preserve">.</w:t>
      </w:r>
    </w:p>
    <w:p>
      <w:pPr>
        <w:numPr>
          <w:ilvl w:val="0"/>
          <w:numId w:val="1002"/>
        </w:numPr>
        <w:pStyle w:val="Compact"/>
      </w:pPr>
      <w:r>
        <w:rPr>
          <w:bCs/>
          <w:b/>
        </w:rPr>
        <w:t xml:space="preserve">Scope 3:</w:t>
      </w:r>
      <w:r>
        <w:t xml:space="preserve"> </w:t>
      </w:r>
      <w:r>
        <w:t xml:space="preserve">All other indirect emissions that occur in the value chain of</w:t>
      </w:r>
      <w:r>
        <w:t xml:space="preserve"> </w:t>
      </w:r>
      <w:r>
        <w:rPr>
          <w:bCs/>
          <w:b/>
        </w:rPr>
        <w:t xml:space="preserve">xrgfmqijlp</w:t>
      </w:r>
      <w:r>
        <w:t xml:space="preserve">, both upstream and downstream. This report aims for at least 95% coverage for Scope 3 emissions as per 2026 requirements.</w:t>
      </w:r>
    </w:p>
    <w:bookmarkEnd w:id="23"/>
    <w:bookmarkStart w:id="24" w:name="X504f4a86e01fdcfa46a4589bb1b5e0cfaad8629"/>
    <w:p>
      <w:pPr>
        <w:pStyle w:val="Heading3"/>
      </w:pPr>
      <w:r>
        <w:t xml:space="preserve">2.2. 2026 Land Sector and Removals (LSR) Standard Update</w:t>
      </w:r>
    </w:p>
    <w:p>
      <w:pPr>
        <w:pStyle w:val="FirstParagraph"/>
      </w:pPr>
      <w:r>
        <w:t xml:space="preserve">The 2026 Land Sector and Removals (LSR) Standard has been acknowledged in this analysis. For product</w:t>
      </w:r>
      <w:r>
        <w:t xml:space="preserve"> </w:t>
      </w:r>
      <w:r>
        <w:rPr>
          <w:bCs/>
          <w:b/>
        </w:rPr>
        <w:t xml:space="preserve">tqvoqjetnn</w:t>
      </w:r>
      <w:r>
        <w:t xml:space="preserve">, a manufactured good, direct land use change is not a primary driver of emissions within its immediate lifecycle. However, indirect LSR impacts are implicitly considered within the upstream emission factors for raw materials, which encompass land use changes associated with their extraction and production processes where such data is available within the representative emission factor databases used. Direct carbon removals at the product level are not applicable in this analysis unless specific bio-based material uptake is quantified.</w:t>
      </w:r>
    </w:p>
    <w:p>
      <w:r>
        <w:pict>
          <v:rect style="width:0;height:1.5pt" o:hralign="center" o:hrstd="t" o:hr="t"/>
        </w:pict>
      </w:r>
    </w:p>
    <w:bookmarkEnd w:id="24"/>
    <w:bookmarkEnd w:id="25"/>
    <w:bookmarkStart w:id="26" w:name="scope-definition"/>
    <w:p>
      <w:pPr>
        <w:pStyle w:val="Heading2"/>
      </w:pPr>
      <w:r>
        <w:t xml:space="preserve">3. Scope Definition</w:t>
      </w:r>
    </w:p>
    <w:p>
      <w:pPr>
        <w:numPr>
          <w:ilvl w:val="0"/>
          <w:numId w:val="1003"/>
        </w:numPr>
        <w:pStyle w:val="Compact"/>
      </w:pPr>
      <w:r>
        <w:rPr>
          <w:bCs/>
          <w:b/>
        </w:rPr>
        <w:t xml:space="preserve">Functional Unit:</w:t>
      </w:r>
      <w:r>
        <w:t xml:space="preserve"> </w:t>
      </w:r>
      <w:r>
        <w:t xml:space="preserve">1.0 unit of tqvoqjetnn.</w:t>
      </w:r>
    </w:p>
    <w:p>
      <w:pPr>
        <w:numPr>
          <w:ilvl w:val="0"/>
          <w:numId w:val="1003"/>
        </w:numPr>
        <w:pStyle w:val="Compact"/>
      </w:pPr>
      <w:r>
        <w:rPr>
          <w:bCs/>
          <w:b/>
        </w:rPr>
        <w:t xml:space="preserve">System Boundary:</w:t>
      </w:r>
      <w:r>
        <w:t xml:space="preserve"> </w:t>
      </w:r>
      <w:r>
        <w:t xml:space="preserve">Cradle-to-grave, specifically "factory_gate" for direct operational control, extending to include all upstream (raw materials, transport) and downstream (distribution, use, end-of-life) value chain emissions for a comprehensive PCF.</w:t>
      </w:r>
    </w:p>
    <w:p>
      <w:pPr>
        <w:numPr>
          <w:ilvl w:val="0"/>
          <w:numId w:val="1003"/>
        </w:numPr>
        <w:pStyle w:val="Compact"/>
      </w:pPr>
      <w:r>
        <w:rPr>
          <w:bCs/>
          <w:b/>
        </w:rPr>
        <w:t xml:space="preserve">Geographic Scope:</w:t>
      </w:r>
      <w:r>
        <w:t xml:space="preserve"> </w:t>
      </w:r>
      <w:r>
        <w:t xml:space="preserve">Final Production Country: China, with a Supply Chain Focus primarily on Europe for material sourcing and distribution for downstream activities.</w:t>
      </w:r>
    </w:p>
    <w:p>
      <w:pPr>
        <w:numPr>
          <w:ilvl w:val="0"/>
          <w:numId w:val="1003"/>
        </w:numPr>
        <w:pStyle w:val="Compact"/>
      </w:pPr>
      <w:r>
        <w:rPr>
          <w:bCs/>
          <w:b/>
        </w:rPr>
        <w:t xml:space="preserve">Allocation:</w:t>
      </w:r>
      <w:r>
        <w:t xml:space="preserve"> </w:t>
      </w:r>
      <w:r>
        <w:t xml:space="preserve">Mass-based allocation is applied where co-products or by-products are identified within generic emission factors. No specific co-products for tqvoqjetnn itself were identified for dedicated allocation procedures.</w:t>
      </w:r>
    </w:p>
    <w:p>
      <w:r>
        <w:pict>
          <v:rect style="width:0;height:1.5pt" o:hralign="center" o:hrstd="t" o:hr="t"/>
        </w:pict>
      </w:r>
    </w:p>
    <w:bookmarkEnd w:id="26"/>
    <w:bookmarkStart w:id="32" w:name="X07446f1d75e7f4027df09f2492f7984d920c3e2"/>
    <w:p>
      <w:pPr>
        <w:pStyle w:val="Heading2"/>
      </w:pPr>
      <w:r>
        <w:t xml:space="preserve">4. Lifecycle Mapping &amp; Data Collection (LCI Inventory Stages)</w:t>
      </w:r>
    </w:p>
    <w:bookmarkStart w:id="27" w:name="X454989a162f1a13bb130889b440b3fa88b3c1f2"/>
    <w:p>
      <w:pPr>
        <w:pStyle w:val="Heading3"/>
      </w:pPr>
      <w:r>
        <w:t xml:space="preserve">4.1. Detailed Bill of Materials (BOM) - Raw Material Acquisition &amp; Pre-processing (Scope 3 - Upstream)</w:t>
      </w:r>
    </w:p>
    <w:p>
      <w:pPr>
        <w:pStyle w:val="FirstParagraph"/>
      </w:pPr>
      <w:r>
        <w:t xml:space="preserve">The following detailed Bill of Materials (BOM) for</w:t>
      </w:r>
      <w:r>
        <w:t xml:space="preserve"> </w:t>
      </w:r>
      <w:r>
        <w:rPr>
          <w:bCs/>
          <w:b/>
        </w:rPr>
        <w:t xml:space="preserve">irgxpsvf</w:t>
      </w:r>
      <w:r>
        <w:t xml:space="preserve"> </w:t>
      </w:r>
      <w:r>
        <w:t xml:space="preserve">was used to calculate the material-related carbon impact. The provided emission factors are representative industry standards (e.g., from Ecoinvent/DEFRA type databases, though specific database versions are not cited for these illustrative values) and represent the \'cradle-to-gate\' emissions for the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Aluminum Alloy (Frame)</w:t>
            </w:r>
          </w:p>
        </w:tc>
        <w:tc>
          <w:tcPr/>
          <w:p>
            <w:pPr>
              <w:pStyle w:val="Compact"/>
              <w:jc w:val="left"/>
            </w:pPr>
            <w:r>
              <w:t xml:space="preserve">Metal</w:t>
            </w:r>
          </w:p>
        </w:tc>
        <w:tc>
          <w:tcPr/>
          <w:p>
            <w:pPr>
              <w:pStyle w:val="Compact"/>
              <w:jc w:val="left"/>
            </w:pPr>
            <w:r>
              <w:t xml:space="preserve">Alloy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w:t>
            </w:r>
          </w:p>
        </w:tc>
      </w:tr>
      <w:tr>
        <w:tc>
          <w:tcPr/>
          <w:p>
            <w:pPr>
              <w:pStyle w:val="Compact"/>
              <w:jc w:val="left"/>
            </w:pPr>
            <w:r>
              <w:t xml:space="preserve">MAT002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Battery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MAT005</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Glass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rPr>
                <w:bCs/>
                <w:b/>
              </w:rPr>
              <w:t xml:space="preserve">Total Material Emissions:</w:t>
            </w:r>
          </w:p>
        </w:tc>
        <w:tc>
          <w:tcPr/>
          <w:p>
            <w:pPr>
              <w:pStyle w:val="Compact"/>
              <w:jc w:val="left"/>
            </w:pPr>
            <w:r>
              <w:rPr>
                <w:bCs/>
                <w:b/>
              </w:rPr>
              <w:t xml:space="preserve">5.89 kg CO2e</w:t>
            </w:r>
          </w:p>
        </w:tc>
      </w:tr>
    </w:tbl>
    <w:p>
      <w:pPr>
        <w:pStyle w:val="BodyText"/>
      </w:pPr>
      <w:r>
        <w:t xml:space="preserve">The total mass of the product from the BOM is 1.45 kg.</w:t>
      </w:r>
    </w:p>
    <w:bookmarkEnd w:id="27"/>
    <w:bookmarkStart w:id="28" w:name="manufacturingproduction-scope-1-2"/>
    <w:p>
      <w:pPr>
        <w:pStyle w:val="Heading3"/>
      </w:pPr>
      <w:r>
        <w:t xml:space="preserve">4.2. Manufacturing/Production (Scope 1 &amp; 2)</w:t>
      </w:r>
    </w:p>
    <w:p>
      <w:pPr>
        <w:numPr>
          <w:ilvl w:val="0"/>
          <w:numId w:val="1004"/>
        </w:numPr>
        <w:pStyle w:val="Compact"/>
      </w:pPr>
      <w:r>
        <w:rPr>
          <w:bCs/>
          <w:b/>
        </w:rPr>
        <w:t xml:space="preserve">Energy Intensity:</w:t>
      </w:r>
      <w:r>
        <w:t xml:space="preserve"> </w:t>
      </w:r>
      <w:r>
        <w:t xml:space="preserve">rhnlhomofu (15 kWh/unit)</w:t>
      </w:r>
    </w:p>
    <w:p>
      <w:pPr>
        <w:numPr>
          <w:ilvl w:val="0"/>
          <w:numId w:val="1004"/>
        </w:numPr>
        <w:pStyle w:val="Compact"/>
      </w:pPr>
      <w:r>
        <w:rPr>
          <w:bCs/>
          <w:b/>
        </w:rPr>
        <w:t xml:space="preserve">Renewable Energy Usage:</w:t>
      </w:r>
      <w:r>
        <w:t xml:space="preserve"> </w:t>
      </w:r>
      <w:r>
        <w:t xml:space="preserve">lgkvpspvrk (60%)</w:t>
      </w:r>
    </w:p>
    <w:p>
      <w:pPr>
        <w:numPr>
          <w:ilvl w:val="0"/>
          <w:numId w:val="1004"/>
        </w:numPr>
        <w:pStyle w:val="Compact"/>
      </w:pPr>
      <w:r>
        <w:rPr>
          <w:bCs/>
          <w:b/>
        </w:rPr>
        <w:t xml:space="preserve">Grid Electricity Emission Factor (China):</w:t>
      </w:r>
      <w:r>
        <w:t xml:space="preserve"> </w:t>
      </w:r>
      <w:r>
        <w:t xml:space="preserve">0.6 kg CO2e/kWh (Illustrative)</w:t>
      </w:r>
    </w:p>
    <w:p>
      <w:pPr>
        <w:numPr>
          <w:ilvl w:val="0"/>
          <w:numId w:val="1004"/>
        </w:numPr>
        <w:pStyle w:val="Compact"/>
      </w:pPr>
      <w:r>
        <w:rPr>
          <w:bCs/>
          <w:b/>
        </w:rPr>
        <w:t xml:space="preserve">Renewable Electricity Emission Factor:</w:t>
      </w:r>
      <w:r>
        <w:t xml:space="preserve"> </w:t>
      </w:r>
      <w:r>
        <w:t xml:space="preserve">0.05 kg CO2e/kWh (Illustrative for residual emissions)</w:t>
      </w:r>
    </w:p>
    <w:p>
      <w:pPr>
        <w:numPr>
          <w:ilvl w:val="0"/>
          <w:numId w:val="1004"/>
        </w:numPr>
        <w:pStyle w:val="Compact"/>
      </w:pPr>
      <w:r>
        <w:rPr>
          <w:bCs/>
          <w:b/>
        </w:rPr>
        <w:t xml:space="preserve">Direct Factory Emissions (Scope 1):</w:t>
      </w:r>
      <w:r>
        <w:t xml:space="preserve"> </w:t>
      </w:r>
      <w:r>
        <w:t xml:space="preserve">0.5 kg CO2e/unit (Illustrative, e.g., minor fuel for heating, refrigerants)</w:t>
      </w:r>
    </w:p>
    <w:bookmarkEnd w:id="28"/>
    <w:bookmarkStart w:id="29" w:name="Xc78fa9e95fdc5a4841e5055035e97eb6a5c3c11"/>
    <w:p>
      <w:pPr>
        <w:pStyle w:val="Heading3"/>
      </w:pPr>
      <w:r>
        <w:t xml:space="preserve">4.3. Transport &amp; Distribution (Scope 3 - Upstream &amp; Downstream)</w:t>
      </w:r>
    </w:p>
    <w:p>
      <w:pPr>
        <w:pStyle w:val="FirstParagraph"/>
      </w:pPr>
      <w:r>
        <w:t xml:space="preserve">Logistics data for the finished product from the factory to the European market and last-mile delivery are incorporated.</w:t>
      </w:r>
    </w:p>
    <w:p>
      <w:pPr>
        <w:numPr>
          <w:ilvl w:val="0"/>
          <w:numId w:val="1005"/>
        </w:numPr>
        <w:pStyle w:val="Compact"/>
      </w:pPr>
      <w:r>
        <w:rPr>
          <w:bCs/>
          <w:b/>
        </w:rPr>
        <w:t xml:space="preserve">Main Transport Mode:</w:t>
      </w:r>
      <w:r>
        <w:t xml:space="preserve"> </w:t>
      </w:r>
      <w:r>
        <w:t xml:space="preserve">Select Mode (Ocean Freight (Container Ship))</w:t>
      </w:r>
    </w:p>
    <w:p>
      <w:pPr>
        <w:numPr>
          <w:ilvl w:val="0"/>
          <w:numId w:val="1005"/>
        </w:numPr>
        <w:pStyle w:val="Compact"/>
      </w:pPr>
      <w:r>
        <w:rPr>
          <w:bCs/>
          <w:b/>
        </w:rPr>
        <w:t xml:space="preserve">Main Transport Distance:</w:t>
      </w:r>
      <w:r>
        <w:t xml:space="preserve"> </w:t>
      </w:r>
      <w:r>
        <w:t xml:space="preserve">stotpouykt (12,000 km)</w:t>
      </w:r>
    </w:p>
    <w:p>
      <w:pPr>
        <w:numPr>
          <w:ilvl w:val="0"/>
          <w:numId w:val="1005"/>
        </w:numPr>
        <w:pStyle w:val="Compact"/>
      </w:pPr>
      <w:r>
        <w:rPr>
          <w:bCs/>
          <w:b/>
        </w:rPr>
        <w:t xml:space="preserve">Last-Mile Delivery Channel:</w:t>
      </w:r>
      <w:r>
        <w:t xml:space="preserve"> </w:t>
      </w:r>
      <w:r>
        <w:t xml:space="preserve">Delivery Type (Road Freight (Heavy Goods Vehicle, &lt;7.5t))</w:t>
      </w:r>
    </w:p>
    <w:p>
      <w:pPr>
        <w:numPr>
          <w:ilvl w:val="0"/>
          <w:numId w:val="1005"/>
        </w:numPr>
        <w:pStyle w:val="Compact"/>
      </w:pPr>
      <w:r>
        <w:rPr>
          <w:bCs/>
          <w:b/>
        </w:rPr>
        <w:t xml:space="preserve">Last-Mile Distance:</w:t>
      </w:r>
      <w:r>
        <w:t xml:space="preserve"> </w:t>
      </w:r>
      <w:r>
        <w:t xml:space="preserve">500 km (Illustrative)</w:t>
      </w:r>
    </w:p>
    <w:p>
      <w:pPr>
        <w:numPr>
          <w:ilvl w:val="0"/>
          <w:numId w:val="1005"/>
        </w:numPr>
        <w:pStyle w:val="Compact"/>
      </w:pPr>
      <w:r>
        <w:rPr>
          <w:bCs/>
          <w:b/>
        </w:rPr>
        <w:t xml:space="preserve">Ocean Freight Emission Factor:</w:t>
      </w:r>
      <w:r>
        <w:t xml:space="preserve"> </w:t>
      </w:r>
      <w:r>
        <w:t xml:space="preserve">0.010 kg CO2e/tonne-km (Illustrative)</w:t>
      </w:r>
    </w:p>
    <w:p>
      <w:pPr>
        <w:numPr>
          <w:ilvl w:val="0"/>
          <w:numId w:val="1005"/>
        </w:numPr>
        <w:pStyle w:val="Compact"/>
      </w:pPr>
      <w:r>
        <w:rPr>
          <w:bCs/>
          <w:b/>
        </w:rPr>
        <w:t xml:space="preserve">Road Freight Emission Factor:</w:t>
      </w:r>
      <w:r>
        <w:t xml:space="preserve"> </w:t>
      </w:r>
      <w:r>
        <w:t xml:space="preserve">0.250 kg CO2e/tonne-km (Illustrative)</w:t>
      </w:r>
    </w:p>
    <w:p>
      <w:pPr>
        <w:numPr>
          <w:ilvl w:val="0"/>
          <w:numId w:val="1005"/>
        </w:numPr>
        <w:pStyle w:val="Compact"/>
      </w:pPr>
      <w:r>
        <w:rPr>
          <w:bCs/>
          <w:b/>
        </w:rPr>
        <w:t xml:space="preserve">Product Mass for Transport:</w:t>
      </w:r>
      <w:r>
        <w:t xml:space="preserve"> </w:t>
      </w:r>
      <w:r>
        <w:t xml:space="preserve">1.45 kg</w:t>
      </w:r>
    </w:p>
    <w:bookmarkEnd w:id="29"/>
    <w:bookmarkStart w:id="30" w:name="use-phase-scope-3---downstream"/>
    <w:p>
      <w:pPr>
        <w:pStyle w:val="Heading3"/>
      </w:pPr>
      <w:r>
        <w:t xml:space="preserve">4.4. Use Phase (Scope 3 - Downstream)</w:t>
      </w:r>
    </w:p>
    <w:p>
      <w:pPr>
        <w:pStyle w:val="FirstParagraph"/>
      </w:pPr>
      <w:r>
        <w:t xml:space="preserve">Emissions during the product\'s lifespan are critical for many electronics.</w:t>
      </w:r>
    </w:p>
    <w:p>
      <w:pPr>
        <w:numPr>
          <w:ilvl w:val="0"/>
          <w:numId w:val="1006"/>
        </w:numPr>
        <w:pStyle w:val="Compact"/>
      </w:pPr>
      <w:r>
        <w:rPr>
          <w:bCs/>
          <w:b/>
        </w:rPr>
        <w:t xml:space="preserve">Product Lifespan:</w:t>
      </w:r>
      <w:r>
        <w:t xml:space="preserve"> </w:t>
      </w:r>
      <w:r>
        <w:t xml:space="preserve">mlmqozjjjt (7 years)</w:t>
      </w:r>
    </w:p>
    <w:p>
      <w:pPr>
        <w:numPr>
          <w:ilvl w:val="0"/>
          <w:numId w:val="1006"/>
        </w:numPr>
        <w:pStyle w:val="Compact"/>
      </w:pPr>
      <w:r>
        <w:rPr>
          <w:bCs/>
          <w:b/>
        </w:rPr>
        <w:t xml:space="preserve">Energy Consumption in Use:</w:t>
      </w:r>
      <w:r>
        <w:t xml:space="preserve"> </w:t>
      </w:r>
      <w:r>
        <w:t xml:space="preserve">ghxppmozxq (25 kWh/year)</w:t>
      </w:r>
    </w:p>
    <w:p>
      <w:pPr>
        <w:numPr>
          <w:ilvl w:val="0"/>
          <w:numId w:val="1006"/>
        </w:numPr>
        <w:pStyle w:val="Compact"/>
      </w:pPr>
      <w:r>
        <w:rPr>
          <w:bCs/>
          <w:b/>
        </w:rPr>
        <w:t xml:space="preserve">Grid Electricity Emission Factor (EU Average for Use Phase):</w:t>
      </w:r>
      <w:r>
        <w:t xml:space="preserve"> </w:t>
      </w:r>
      <w:r>
        <w:t xml:space="preserve">0.3 kg CO2e/kWh (Illustrative)</w:t>
      </w:r>
    </w:p>
    <w:bookmarkEnd w:id="30"/>
    <w:bookmarkStart w:id="31" w:name="end-of-life-eol-scope-3---downstream"/>
    <w:p>
      <w:pPr>
        <w:pStyle w:val="Heading3"/>
      </w:pPr>
      <w:r>
        <w:t xml:space="preserve">4.5. End-of-Life (EoL) (Scope 3 - Downstream)</w:t>
      </w:r>
    </w:p>
    <w:p>
      <w:pPr>
        <w:pStyle w:val="FirstParagraph"/>
      </w:pPr>
      <w:r>
        <w:t xml:space="preserve">The end-of-life scenario considers recyclability and circular economy initiatives.</w:t>
      </w:r>
    </w:p>
    <w:p>
      <w:pPr>
        <w:numPr>
          <w:ilvl w:val="0"/>
          <w:numId w:val="1007"/>
        </w:numPr>
        <w:pStyle w:val="Compact"/>
      </w:pPr>
      <w:r>
        <w:rPr>
          <w:bCs/>
          <w:b/>
        </w:rPr>
        <w:t xml:space="preserve">Recyclability Percentage:</w:t>
      </w:r>
      <w:r>
        <w:t xml:space="preserve"> </w:t>
      </w:r>
      <w:r>
        <w:t xml:space="preserve">fqghizopnt (80%)</w:t>
      </w:r>
    </w:p>
    <w:p>
      <w:pPr>
        <w:numPr>
          <w:ilvl w:val="0"/>
          <w:numId w:val="1007"/>
        </w:numPr>
        <w:pStyle w:val="Compact"/>
      </w:pPr>
      <w:r>
        <w:rPr>
          <w:bCs/>
          <w:b/>
        </w:rPr>
        <w:t xml:space="preserve">Circular/Take-back Programs:</w:t>
      </w:r>
      <w:r>
        <w:t xml:space="preserve"> </w:t>
      </w:r>
      <w:r>
        <w:t xml:space="preserve">shvitpwhth (Advanced take-back and refurbishment program in EU, incentivizing product return and material recovery.)</w:t>
      </w:r>
    </w:p>
    <w:p>
      <w:pPr>
        <w:numPr>
          <w:ilvl w:val="0"/>
          <w:numId w:val="1007"/>
        </w:numPr>
        <w:pStyle w:val="Compact"/>
      </w:pPr>
      <w:r>
        <w:rPr>
          <w:bCs/>
          <w:b/>
        </w:rPr>
        <w:t xml:space="preserve">Landfill Emission Factor (Non-Recycled):</w:t>
      </w:r>
      <w:r>
        <w:t xml:space="preserve"> </w:t>
      </w:r>
      <w:r>
        <w:t xml:space="preserve">1.5 kg CO2e/kg (Illustrative for general waste)</w:t>
      </w:r>
    </w:p>
    <w:p>
      <w:pPr>
        <w:numPr>
          <w:ilvl w:val="0"/>
          <w:numId w:val="1007"/>
        </w:numPr>
        <w:pStyle w:val="Compact"/>
      </w:pPr>
      <w:r>
        <w:rPr>
          <w:bCs/>
          <w:b/>
        </w:rPr>
        <w:t xml:space="preserve">Recycling Process Emission Factor:</w:t>
      </w:r>
      <w:r>
        <w:t xml:space="preserve"> </w:t>
      </w:r>
      <w:r>
        <w:t xml:space="preserve">0.5 kg CO2e/kg (Illustrative for collection, sorting, and initial processing)</w:t>
      </w:r>
    </w:p>
    <w:p>
      <w:r>
        <w:pict>
          <v:rect style="width:0;height:1.5pt" o:hralign="center" o:hrstd="t" o:hr="t"/>
        </w:pict>
      </w:r>
    </w:p>
    <w:bookmarkEnd w:id="31"/>
    <w:bookmarkEnd w:id="32"/>
    <w:bookmarkStart w:id="40" w:name="emissions-calculation"/>
    <w:p>
      <w:pPr>
        <w:pStyle w:val="Heading2"/>
      </w:pPr>
      <w:r>
        <w:t xml:space="preserve">5. Emissions Calculation</w:t>
      </w:r>
    </w:p>
    <w:p>
      <w:pPr>
        <w:pStyle w:val="FirstParagraph"/>
      </w:pPr>
      <w:r>
        <w:t xml:space="preserve">The following calculations quantify the greenhouse gas emissions (in kg CO2e) for one functional unit of tqvoqjetnn across its lifecycle stages:</w:t>
      </w:r>
    </w:p>
    <w:bookmarkStart w:id="33" w:name="Xff31e690bfe279af69cf88b9219fe5d56042afb"/>
    <w:p>
      <w:pPr>
        <w:pStyle w:val="Heading3"/>
      </w:pPr>
      <w:r>
        <w:t xml:space="preserve">5.1. Raw Material Acquisition &amp; Pre-processing (Scope 3 - Upstream)</w:t>
      </w:r>
    </w:p>
    <w:p>
      <w:pPr>
        <w:pStyle w:val="FirstParagraph"/>
      </w:pPr>
      <w:r>
        <w:t xml:space="preserve">These emissions are derived directly from the detailed BOM, representing the \'cradle-to-gate\' impact of acquiring and processing materials before they arrive at the factory.</w:t>
      </w:r>
    </w:p>
    <w:p>
      <w:pPr>
        <w:numPr>
          <w:ilvl w:val="0"/>
          <w:numId w:val="1008"/>
        </w:numPr>
        <w:pStyle w:val="Compact"/>
      </w:pPr>
      <w:r>
        <w:t xml:space="preserve">Total Material Emissions: 5.89 kg CO2e</w:t>
      </w:r>
    </w:p>
    <w:bookmarkEnd w:id="33"/>
    <w:bookmarkStart w:id="36" w:name="manufacturingproduction"/>
    <w:p>
      <w:pPr>
        <w:pStyle w:val="Heading3"/>
      </w:pPr>
      <w:r>
        <w:t xml:space="preserve">5.2. Manufacturing/Production</w:t>
      </w:r>
    </w:p>
    <w:bookmarkStart w:id="34" w:name="Xc85e34a17d8abd9872fcc7afba1d74b18ed1bb4"/>
    <w:p>
      <w:pPr>
        <w:pStyle w:val="Heading4"/>
      </w:pPr>
      <w:r>
        <w:t xml:space="preserve">5.2.1. Scope 1 Emissions (Direct Emissions from xrgfmqijlp\'s Operations)</w:t>
      </w:r>
    </w:p>
    <w:p>
      <w:pPr>
        <w:pStyle w:val="FirstParagraph"/>
      </w:pPr>
      <w:r>
        <w:t xml:space="preserve">These include direct emissions from owned or controlled sources at the production facility.</w:t>
      </w:r>
    </w:p>
    <w:p>
      <w:pPr>
        <w:numPr>
          <w:ilvl w:val="0"/>
          <w:numId w:val="1009"/>
        </w:numPr>
        <w:pStyle w:val="Compact"/>
      </w:pPr>
      <w:r>
        <w:t xml:space="preserve">Scope 1 Emissions: 0.5 kg CO2e</w:t>
      </w:r>
    </w:p>
    <w:bookmarkEnd w:id="34"/>
    <w:bookmarkStart w:id="35" w:name="scope-2-emissions-purchased-electricity"/>
    <w:p>
      <w:pPr>
        <w:pStyle w:val="Heading4"/>
      </w:pPr>
      <w:r>
        <w:t xml:space="preserve">5.2.2. Scope 2 Emissions (Purchased Electricity)</w:t>
      </w:r>
    </w:p>
    <w:p>
      <w:pPr>
        <w:pStyle w:val="FirstParagraph"/>
      </w:pPr>
      <w:r>
        <w:t xml:space="preserve">Emissions from the generation of electricity purchased for manufacturing processes in China.</w:t>
      </w:r>
    </w:p>
    <w:p>
      <w:pPr>
        <w:numPr>
          <w:ilvl w:val="0"/>
          <w:numId w:val="1010"/>
        </w:numPr>
        <w:pStyle w:val="Compact"/>
      </w:pPr>
      <w:r>
        <w:t xml:space="preserve">Total Electricity Consumption: 15 kWh/unit</w:t>
      </w:r>
    </w:p>
    <w:p>
      <w:pPr>
        <w:numPr>
          <w:ilvl w:val="0"/>
          <w:numId w:val="1010"/>
        </w:numPr>
        <w:pStyle w:val="Compact"/>
      </w:pPr>
      <w:r>
        <w:t xml:space="preserve">Renewable Electricity Usage: 60% (9 kWh)</w:t>
      </w:r>
    </w:p>
    <w:p>
      <w:pPr>
        <w:numPr>
          <w:ilvl w:val="0"/>
          <w:numId w:val="1010"/>
        </w:numPr>
        <w:pStyle w:val="Compact"/>
      </w:pPr>
      <w:r>
        <w:t xml:space="preserve">Grid Electricity Usage: 40% (6 kWh)</w:t>
      </w:r>
    </w:p>
    <w:p>
      <w:pPr>
        <w:numPr>
          <w:ilvl w:val="0"/>
          <w:numId w:val="1010"/>
        </w:numPr>
        <w:pStyle w:val="Compact"/>
      </w:pPr>
      <w:r>
        <w:t xml:space="preserve">Emissions from Renewable Electricity: 9 kWh * 0.05 kg CO2e/kWh = 0.45 kg CO2e</w:t>
      </w:r>
    </w:p>
    <w:p>
      <w:pPr>
        <w:numPr>
          <w:ilvl w:val="0"/>
          <w:numId w:val="1010"/>
        </w:numPr>
        <w:pStyle w:val="Compact"/>
      </w:pPr>
      <w:r>
        <w:t xml:space="preserve">Emissions from Grid Electricity (China): 6 kWh * 0.6 kg CO2e/kWh = 3.6 kg CO2e</w:t>
      </w:r>
    </w:p>
    <w:p>
      <w:pPr>
        <w:numPr>
          <w:ilvl w:val="0"/>
          <w:numId w:val="1010"/>
        </w:numPr>
        <w:pStyle w:val="Compact"/>
      </w:pPr>
      <w:r>
        <w:rPr>
          <w:bCs/>
          <w:b/>
        </w:rPr>
        <w:t xml:space="preserve">Total Scope 2 Emissions:</w:t>
      </w:r>
      <w:r>
        <w:t xml:space="preserve"> </w:t>
      </w:r>
      <w:r>
        <w:t xml:space="preserve">0.45 kg CO2e + 3.6 kg CO2e =</w:t>
      </w:r>
      <w:r>
        <w:t xml:space="preserve"> </w:t>
      </w:r>
      <w:r>
        <w:rPr>
          <w:bCs/>
          <w:b/>
        </w:rPr>
        <w:t xml:space="preserve">4.05 kg CO2e</w:t>
      </w:r>
    </w:p>
    <w:bookmarkEnd w:id="35"/>
    <w:bookmarkEnd w:id="36"/>
    <w:bookmarkStart w:id="37" w:name="X71c2dcd675df23fc104d48ef6b7ab710cc88cf8"/>
    <w:p>
      <w:pPr>
        <w:pStyle w:val="Heading3"/>
      </w:pPr>
      <w:r>
        <w:t xml:space="preserve">5.3. Transport &amp; Distribution (Scope 3 - Downstream)</w:t>
      </w:r>
    </w:p>
    <w:p>
      <w:pPr>
        <w:pStyle w:val="FirstParagraph"/>
      </w:pPr>
      <w:r>
        <w:t xml:space="preserve">These include emissions from transporting the finished product from the factory in China to the European market and subsequent last-mile delivery.</w:t>
      </w:r>
    </w:p>
    <w:p>
      <w:pPr>
        <w:numPr>
          <w:ilvl w:val="0"/>
          <w:numId w:val="1011"/>
        </w:numPr>
        <w:pStyle w:val="Compact"/>
      </w:pPr>
      <w:r>
        <w:t xml:space="preserve">Product Mass: 1.45 kg (0.00145 tonnes)</w:t>
      </w:r>
    </w:p>
    <w:p>
      <w:pPr>
        <w:numPr>
          <w:ilvl w:val="0"/>
          <w:numId w:val="1011"/>
        </w:numPr>
        <w:pStyle w:val="Compact"/>
      </w:pPr>
      <w:r>
        <w:t xml:space="preserve">Ocean Freight Emissions: 0.00145 tonnes * 12,000 km * 0.010 kg CO2e/tonne-km = 0.174 kg CO2e</w:t>
      </w:r>
    </w:p>
    <w:p>
      <w:pPr>
        <w:numPr>
          <w:ilvl w:val="0"/>
          <w:numId w:val="1011"/>
        </w:numPr>
        <w:pStyle w:val="Compact"/>
      </w:pPr>
      <w:r>
        <w:t xml:space="preserve">Road Freight (Last-Mile) Emissions: 0.00145 tonnes * 500 km * 0.250 kg CO2e/tonne-km = 0.181 kg CO2e</w:t>
      </w:r>
    </w:p>
    <w:p>
      <w:pPr>
        <w:numPr>
          <w:ilvl w:val="0"/>
          <w:numId w:val="1011"/>
        </w:numPr>
        <w:pStyle w:val="Compact"/>
      </w:pPr>
      <w:r>
        <w:rPr>
          <w:bCs/>
          <w:b/>
        </w:rPr>
        <w:t xml:space="preserve">Total Transport Emissions:</w:t>
      </w:r>
      <w:r>
        <w:t xml:space="preserve"> </w:t>
      </w:r>
      <w:r>
        <w:t xml:space="preserve">0.174 kg CO2e + 0.181 kg CO2e =</w:t>
      </w:r>
      <w:r>
        <w:t xml:space="preserve"> </w:t>
      </w:r>
      <w:r>
        <w:rPr>
          <w:bCs/>
          <w:b/>
        </w:rPr>
        <w:t xml:space="preserve">0.355 kg CO2e</w:t>
      </w:r>
    </w:p>
    <w:bookmarkEnd w:id="37"/>
    <w:bookmarkStart w:id="38" w:name="use-phase-scope-3---downstream-1"/>
    <w:p>
      <w:pPr>
        <w:pStyle w:val="Heading3"/>
      </w:pPr>
      <w:r>
        <w:t xml:space="preserve">5.4. Use Phase (Scope 3 - Downstream)</w:t>
      </w:r>
    </w:p>
    <w:p>
      <w:pPr>
        <w:pStyle w:val="FirstParagraph"/>
      </w:pPr>
      <w:r>
        <w:t xml:space="preserve">Emissions from the electricity consumed by the product during its expected lifespan, assuming average European grid electricity.</w:t>
      </w:r>
    </w:p>
    <w:p>
      <w:pPr>
        <w:numPr>
          <w:ilvl w:val="0"/>
          <w:numId w:val="1012"/>
        </w:numPr>
        <w:pStyle w:val="Compact"/>
      </w:pPr>
      <w:r>
        <w:t xml:space="preserve">Annual Energy Consumption: 25 kWh/year</w:t>
      </w:r>
    </w:p>
    <w:p>
      <w:pPr>
        <w:numPr>
          <w:ilvl w:val="0"/>
          <w:numId w:val="1012"/>
        </w:numPr>
        <w:pStyle w:val="Compact"/>
      </w:pPr>
      <w:r>
        <w:t xml:space="preserve">Product Lifespan: 7 years</w:t>
      </w:r>
    </w:p>
    <w:p>
      <w:pPr>
        <w:numPr>
          <w:ilvl w:val="0"/>
          <w:numId w:val="1012"/>
        </w:numPr>
        <w:pStyle w:val="Compact"/>
      </w:pPr>
      <w:r>
        <w:t xml:space="preserve">Total Use Phase Energy: 25 kWh/year * 7 years = 175 kWh</w:t>
      </w:r>
    </w:p>
    <w:p>
      <w:pPr>
        <w:numPr>
          <w:ilvl w:val="0"/>
          <w:numId w:val="1012"/>
        </w:numPr>
        <w:pStyle w:val="Compact"/>
      </w:pPr>
      <w:r>
        <w:t xml:space="preserve">Emissions from Use Phase: 175 kWh * 0.3 kg CO2e/kWh (EU Avg) =</w:t>
      </w:r>
      <w:r>
        <w:t xml:space="preserve"> </w:t>
      </w:r>
      <w:r>
        <w:rPr>
          <w:bCs/>
          <w:b/>
        </w:rPr>
        <w:t xml:space="preserve">52.5 kg CO2e</w:t>
      </w:r>
    </w:p>
    <w:bookmarkEnd w:id="38"/>
    <w:bookmarkStart w:id="39" w:name="end-of-life-eol-scope-3---downstream-1"/>
    <w:p>
      <w:pPr>
        <w:pStyle w:val="Heading3"/>
      </w:pPr>
      <w:r>
        <w:t xml:space="preserve">5.5. End-of-Life (EoL) (Scope 3 - Downstream)</w:t>
      </w:r>
    </w:p>
    <w:p>
      <w:pPr>
        <w:pStyle w:val="FirstParagraph"/>
      </w:pPr>
      <w:r>
        <w:t xml:space="preserve">This accounts for emissions from the disposal of non-recycled components and the processing of recycled materials.</w:t>
      </w:r>
    </w:p>
    <w:p>
      <w:pPr>
        <w:numPr>
          <w:ilvl w:val="0"/>
          <w:numId w:val="1013"/>
        </w:numPr>
        <w:pStyle w:val="Compact"/>
      </w:pPr>
      <w:r>
        <w:t xml:space="preserve">Total Product Mass: 1.45 kg</w:t>
      </w:r>
    </w:p>
    <w:p>
      <w:pPr>
        <w:numPr>
          <w:ilvl w:val="0"/>
          <w:numId w:val="1013"/>
        </w:numPr>
        <w:pStyle w:val="Compact"/>
      </w:pPr>
      <w:r>
        <w:t xml:space="preserve">Recyclable Mass: 1.45 kg * 80% = 1.16 kg</w:t>
      </w:r>
    </w:p>
    <w:p>
      <w:pPr>
        <w:numPr>
          <w:ilvl w:val="0"/>
          <w:numId w:val="1013"/>
        </w:numPr>
        <w:pStyle w:val="Compact"/>
      </w:pPr>
      <w:r>
        <w:t xml:space="preserve">Non-Recyclable Mass: 1.45 kg * 20% = 0.29 kg</w:t>
      </w:r>
    </w:p>
    <w:p>
      <w:pPr>
        <w:numPr>
          <w:ilvl w:val="0"/>
          <w:numId w:val="1013"/>
        </w:numPr>
        <w:pStyle w:val="Compact"/>
      </w:pPr>
      <w:r>
        <w:t xml:space="preserve">Disposal Emissions (Non-Recyclable to Landfill): 0.29 kg * 1.5 kg CO2e/kg = 0.435 kg CO2e</w:t>
      </w:r>
    </w:p>
    <w:p>
      <w:pPr>
        <w:numPr>
          <w:ilvl w:val="0"/>
          <w:numId w:val="1013"/>
        </w:numPr>
        <w:pStyle w:val="Compact"/>
      </w:pPr>
      <w:r>
        <w:t xml:space="preserve">Recycling Process Emissions: 1.16 kg * 0.5 kg CO2e/kg = 0.58 kg CO2e</w:t>
      </w:r>
    </w:p>
    <w:p>
      <w:pPr>
        <w:numPr>
          <w:ilvl w:val="0"/>
          <w:numId w:val="1013"/>
        </w:numPr>
        <w:pStyle w:val="Compact"/>
      </w:pPr>
      <w:r>
        <w:rPr>
          <w:bCs/>
          <w:b/>
        </w:rPr>
        <w:t xml:space="preserve">Total EoL Emissions:</w:t>
      </w:r>
      <w:r>
        <w:t xml:space="preserve"> </w:t>
      </w:r>
      <w:r>
        <w:t xml:space="preserve">0.435 kg CO2e + 0.58 kg CO2e =</w:t>
      </w:r>
      <w:r>
        <w:t xml:space="preserve"> </w:t>
      </w:r>
      <w:r>
        <w:rPr>
          <w:bCs/>
          <w:b/>
        </w:rPr>
        <w:t xml:space="preserve">1.015 kg CO2e</w:t>
      </w:r>
    </w:p>
    <w:p>
      <w:r>
        <w:pict>
          <v:rect style="width:0;height:1.5pt" o:hralign="center" o:hrstd="t" o:hr="t"/>
        </w:pict>
      </w:r>
    </w:p>
    <w:bookmarkEnd w:id="39"/>
    <w:bookmarkEnd w:id="40"/>
    <w:bookmarkStart w:id="42" w:name="X76501786e9dada05b15744dcf2e48d8fcb0d7cb"/>
    <w:p>
      <w:pPr>
        <w:pStyle w:val="Heading2"/>
      </w:pPr>
      <w:r>
        <w:t xml:space="preserve">6. Total Product Carbon Footprint (PCF) for tqvoqjetnn</w:t>
      </w:r>
    </w:p>
    <w:p>
      <w:pPr>
        <w:pStyle w:val="FirstParagraph"/>
      </w:pPr>
      <w:r>
        <w:t xml:space="preserve">The total carbon footprint for one functional unit of</w:t>
      </w:r>
      <w:r>
        <w:t xml:space="preserve"> </w:t>
      </w:r>
      <w:r>
        <w:rPr>
          <w:bCs/>
          <w:b/>
        </w:rPr>
        <w:t xml:space="preserve">tqvoqjetnn</w:t>
      </w:r>
      <w:r>
        <w:t xml:space="preserve"> </w:t>
      </w:r>
      <w:r>
        <w:t xml:space="preserve">is the sum of emissions across all lifecycle stages:</w:t>
      </w:r>
    </w:p>
    <w:p>
      <w:pPr>
        <w:numPr>
          <w:ilvl w:val="0"/>
          <w:numId w:val="1014"/>
        </w:numPr>
        <w:pStyle w:val="Compact"/>
      </w:pPr>
      <w:r>
        <w:t xml:space="preserve">Raw Material Acquisition: 5.89 kg CO2e</w:t>
      </w:r>
    </w:p>
    <w:p>
      <w:pPr>
        <w:numPr>
          <w:ilvl w:val="0"/>
          <w:numId w:val="1014"/>
        </w:numPr>
        <w:pStyle w:val="Compact"/>
      </w:pPr>
      <w:r>
        <w:t xml:space="preserve">Manufacturing (Scope 1): 0.5 kg CO2e</w:t>
      </w:r>
    </w:p>
    <w:p>
      <w:pPr>
        <w:numPr>
          <w:ilvl w:val="0"/>
          <w:numId w:val="1014"/>
        </w:numPr>
        <w:pStyle w:val="Compact"/>
      </w:pPr>
      <w:r>
        <w:t xml:space="preserve">Manufacturing (Scope 2): 4.05 kg CO2e</w:t>
      </w:r>
    </w:p>
    <w:p>
      <w:pPr>
        <w:numPr>
          <w:ilvl w:val="0"/>
          <w:numId w:val="1014"/>
        </w:numPr>
        <w:pStyle w:val="Compact"/>
      </w:pPr>
      <w:r>
        <w:t xml:space="preserve">Transport &amp; Distribution: 0.355 kg CO2e</w:t>
      </w:r>
    </w:p>
    <w:p>
      <w:pPr>
        <w:numPr>
          <w:ilvl w:val="0"/>
          <w:numId w:val="1014"/>
        </w:numPr>
        <w:pStyle w:val="Compact"/>
      </w:pPr>
      <w:r>
        <w:t xml:space="preserve">Use Phase: 52.5 kg CO2e</w:t>
      </w:r>
    </w:p>
    <w:p>
      <w:pPr>
        <w:numPr>
          <w:ilvl w:val="0"/>
          <w:numId w:val="1014"/>
        </w:numPr>
        <w:pStyle w:val="Compact"/>
      </w:pPr>
      <w:r>
        <w:t xml:space="preserve">End-of-Life: 1.015 kg CO2e</w:t>
      </w:r>
    </w:p>
    <w:p>
      <w:pPr>
        <w:pStyle w:val="FirstParagraph"/>
      </w:pPr>
      <w:r>
        <w:t xml:space="preserve">Total Product Carbon Footprint (PCF): 64.31 kg CO2e per unit</w:t>
      </w:r>
    </w:p>
    <w:bookmarkStart w:id="41" w:name="emissions-by-ghg-protocol-scope"/>
    <w:p>
      <w:pPr>
        <w:pStyle w:val="Heading3"/>
      </w:pPr>
      <w:r>
        <w:t xml:space="preserve">6.1. Emissions by GHG Protocol Scope</w:t>
      </w:r>
    </w:p>
    <w:p>
      <w:pPr>
        <w:pStyle w:val="FirstParagraph"/>
      </w:pPr>
      <w:r>
        <w:t xml:space="preserve">Categorization of emissions according to the GHG Protocol:</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(e.g., owned facility operations)</w:t>
            </w:r>
          </w:p>
        </w:tc>
        <w:tc>
          <w:tcPr/>
          <w:p>
            <w:pPr>
              <w:pStyle w:val="Compact"/>
              <w:jc w:val="left"/>
            </w:pPr>
            <w:r>
              <w:t xml:space="preserve">0.5</w:t>
            </w:r>
          </w:p>
        </w:tc>
        <w:tc>
          <w:tcPr/>
          <w:p>
            <w:pPr>
              <w:pStyle w:val="Compact"/>
              <w:jc w:val="left"/>
            </w:pPr>
            <w:r>
              <w:t xml:space="preserve">0.78%</w:t>
            </w:r>
          </w:p>
        </w:tc>
      </w:tr>
      <w:tr>
        <w:tc>
          <w:tcPr/>
          <w:p>
            <w:pPr>
              <w:pStyle w:val="Compact"/>
              <w:jc w:val="left"/>
            </w:pPr>
            <w:r>
              <w:t xml:space="preserve">Scope 2</w:t>
            </w:r>
          </w:p>
        </w:tc>
        <w:tc>
          <w:tcPr/>
          <w:p>
            <w:pPr>
              <w:pStyle w:val="Compact"/>
              <w:jc w:val="left"/>
            </w:pPr>
            <w:r>
              <w:t xml:space="preserve">Purchased Energy (electricity for manufacturing)</w:t>
            </w:r>
          </w:p>
        </w:tc>
        <w:tc>
          <w:tcPr/>
          <w:p>
            <w:pPr>
              <w:pStyle w:val="Compact"/>
              <w:jc w:val="left"/>
            </w:pPr>
            <w:r>
              <w:t xml:space="preserve">4.05</w:t>
            </w:r>
          </w:p>
        </w:tc>
        <w:tc>
          <w:tcPr/>
          <w:p>
            <w:pPr>
              <w:pStyle w:val="Compact"/>
              <w:jc w:val="left"/>
            </w:pPr>
            <w:r>
              <w:t xml:space="preserve">6.30%</w:t>
            </w:r>
          </w:p>
        </w:tc>
      </w:tr>
      <w:tr>
        <w:tc>
          <w:tcPr/>
          <w:p>
            <w:pPr>
              <w:pStyle w:val="Compact"/>
              <w:jc w:val="left"/>
            </w:pPr>
            <w:r>
              <w:t xml:space="preserve">Scope 3</w:t>
            </w:r>
          </w:p>
        </w:tc>
        <w:tc>
          <w:tcPr/>
          <w:p>
            <w:pPr>
              <w:pStyle w:val="Compact"/>
              <w:jc w:val="left"/>
            </w:pPr>
            <w:r>
              <w:t xml:space="preserve">All other indirect emissions (Raw Materials, Transport, Use Phase, EoL)</w:t>
            </w:r>
          </w:p>
        </w:tc>
        <w:tc>
          <w:tcPr/>
          <w:p>
            <w:pPr>
              <w:pStyle w:val="Compact"/>
              <w:jc w:val="left"/>
            </w:pPr>
            <w:r>
              <w:t xml:space="preserve">59.76</w:t>
            </w:r>
          </w:p>
        </w:tc>
        <w:tc>
          <w:tcPr/>
          <w:p>
            <w:pPr>
              <w:pStyle w:val="Compact"/>
              <w:jc w:val="left"/>
            </w:pPr>
            <w:r>
              <w:t xml:space="preserve">92.92%</w:t>
            </w:r>
          </w:p>
        </w:tc>
      </w:tr>
      <w:tr>
        <w:tc>
          <w:tcPr>
            <w:gridSpan w:val="2"/>
          </w:tcPr>
          <w:p>
            <w:pPr>
              <w:pStyle w:val="Compact"/>
              <w:jc w:val="right"/>
            </w:pPr>
            <w:r>
              <w:rPr>
                <w:bCs/>
                <w:b/>
              </w:rPr>
              <w:t xml:space="preserve">Total PCF:</w:t>
            </w:r>
          </w:p>
        </w:tc>
        <w:tc>
          <w:tcPr/>
          <w:p>
            <w:pPr>
              <w:pStyle w:val="Compact"/>
              <w:jc w:val="left"/>
            </w:pPr>
            <w:r>
              <w:rPr>
                <w:bCs/>
                <w:b/>
              </w:rPr>
              <w:t xml:space="preserve">64.31 kg CO2e</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The analysis for Scope 3 emissions includes material acquisition, transport, product use, and end-of-life stages. Based on the comprehensive nature of the lifecycle stages covered, this analysis ensures well over the 95% coverage required by 2026 GHG Protocol standards.</w:t>
      </w:r>
    </w:p>
    <w:p>
      <w:r>
        <w:pict>
          <v:rect style="width:0;height:1.5pt" o:hralign="center" o:hrstd="t" o:hr="t"/>
        </w:pict>
      </w:r>
    </w:p>
    <w:bookmarkEnd w:id="41"/>
    <w:bookmarkEnd w:id="42"/>
    <w:bookmarkStart w:id="48" w:name="review-report"/>
    <w:p>
      <w:pPr>
        <w:pStyle w:val="Heading2"/>
      </w:pPr>
      <w:r>
        <w:t xml:space="preserve">7. Review &amp; Report</w:t>
      </w:r>
    </w:p>
    <w:bookmarkStart w:id="43" w:name="hotspots-analysis"/>
    <w:p>
      <w:pPr>
        <w:pStyle w:val="Heading3"/>
      </w:pPr>
      <w:r>
        <w:t xml:space="preserve">7.1. Hotspots Analysis</w:t>
      </w:r>
    </w:p>
    <w:p>
      <w:pPr>
        <w:pStyle w:val="FirstParagraph"/>
      </w:pPr>
      <w:r>
        <w:t xml:space="preserve">The analysis reveals the following major carbon hotspots for</w:t>
      </w:r>
      <w:r>
        <w:t xml:space="preserve"> </w:t>
      </w:r>
      <w:r>
        <w:rPr>
          <w:bCs/>
          <w:b/>
        </w:rPr>
        <w:t xml:space="preserve">tqvoqjetnn</w:t>
      </w:r>
      <w:r>
        <w:t xml:space="preserve">:</w:t>
      </w:r>
    </w:p>
    <w:p>
      <w:pPr>
        <w:numPr>
          <w:ilvl w:val="0"/>
          <w:numId w:val="1015"/>
        </w:numPr>
        <w:pStyle w:val="Compact"/>
      </w:pPr>
      <w:r>
        <w:rPr>
          <w:bCs/>
          <w:b/>
        </w:rPr>
        <w:t xml:space="preserve">Use Phase (52.5 kg CO2e / 81.6%):</w:t>
      </w:r>
      <w:r>
        <w:t xml:space="preserve"> </w:t>
      </w:r>
      <w:r>
        <w:t xml:space="preserve">This is overwhelmingly the largest contributor to the PCF, primarily due to the energy consumption of the product over its 7-year lifespan. This highlights the critical importance of energy efficiency during product design and user behavior in reducing the overall footprint.</w:t>
      </w:r>
    </w:p>
    <w:p>
      <w:pPr>
        <w:numPr>
          <w:ilvl w:val="0"/>
          <w:numId w:val="1015"/>
        </w:numPr>
        <w:pStyle w:val="Compact"/>
      </w:pPr>
      <w:r>
        <w:rPr>
          <w:bCs/>
          <w:b/>
        </w:rPr>
        <w:t xml:space="preserve">Raw Material Acquisition (5.89 kg CO2e / 9.16%):</w:t>
      </w:r>
      <w:r>
        <w:t xml:space="preserve"> </w:t>
      </w:r>
      <w:r>
        <w:t xml:space="preserve">The embodied emissions in materials like aluminum, plastics, and especially the battery and PCB, represent the second significant hotspot. Strategies for sourcing lower-impact materials, increasing recycled content, and optimizing material use are crucial.</w:t>
      </w:r>
    </w:p>
    <w:p>
      <w:pPr>
        <w:numPr>
          <w:ilvl w:val="0"/>
          <w:numId w:val="1015"/>
        </w:numPr>
        <w:pStyle w:val="Compact"/>
      </w:pPr>
      <w:r>
        <w:rPr>
          <w:bCs/>
          <w:b/>
        </w:rPr>
        <w:t xml:space="preserve">Manufacturing (Scope 2) (4.05 kg CO2e / 6.30%):</w:t>
      </w:r>
      <w:r>
        <w:t xml:space="preserve"> </w:t>
      </w:r>
      <w:r>
        <w:t xml:space="preserve">While smaller than the use phase, this is a direct operational lever. Increasing the share of renewable energy beyond the current 60% at the manufacturing facility in China would further reduce this impact.</w:t>
      </w:r>
    </w:p>
    <w:p>
      <w:pPr>
        <w:numPr>
          <w:ilvl w:val="0"/>
          <w:numId w:val="1015"/>
        </w:numPr>
        <w:pStyle w:val="Compact"/>
      </w:pPr>
      <w:r>
        <w:rPr>
          <w:bCs/>
          <w:b/>
        </w:rPr>
        <w:t xml:space="preserve">End-of-Life (1.015 kg CO2e / 1.58%):</w:t>
      </w:r>
      <w:r>
        <w:t xml:space="preserve"> </w:t>
      </w:r>
      <w:r>
        <w:t xml:space="preserve">Despite a high recyclability percentage, the emissions from processing and disposal still contribute. Strengthening circular programs and exploring more efficient recycling technologies can mitigate this.</w:t>
      </w:r>
    </w:p>
    <w:bookmarkEnd w:id="43"/>
    <w:bookmarkStart w:id="44" w:name="reliability-and-limitations"/>
    <w:p>
      <w:pPr>
        <w:pStyle w:val="Heading3"/>
      </w:pPr>
      <w:r>
        <w:t xml:space="preserve">7.2. Reliability and Limitations</w:t>
      </w:r>
    </w:p>
    <w:p>
      <w:pPr>
        <w:pStyle w:val="FirstParagraph"/>
      </w:pPr>
      <w:r>
        <w:t xml:space="preserve">The reliability of this PCF analysis is dependent on the accuracy and representativeness of the input data and emission factors. While industry-standard emission factors are used, they are illustrative in this report due to the placeholder nature of some input parameters (e.g., `irgxpsvf`, `stotpouykt`). Primary data for all specific processes in the supply chain would enhance accuracy. The LSR Standard\'s integration is primarily through embedded factors and acknowledgement of indirect impacts. Continuous data collection and engagement with suppliers are recommended to refine future assessments.</w:t>
      </w:r>
    </w:p>
    <w:bookmarkEnd w:id="44"/>
    <w:bookmarkStart w:id="47" w:name="recommendations-for-emissions-reduction"/>
    <w:p>
      <w:pPr>
        <w:pStyle w:val="Heading3"/>
      </w:pPr>
      <w:r>
        <w:t xml:space="preserve">7.3. Recommendations for Emissions Reduction</w:t>
      </w:r>
    </w:p>
    <w:p>
      <w:pPr>
        <w:numPr>
          <w:ilvl w:val="0"/>
          <w:numId w:val="1016"/>
        </w:numPr>
        <w:pStyle w:val="Compact"/>
      </w:pPr>
      <w:r>
        <w:rPr>
          <w:bCs/>
          <w:b/>
        </w:rPr>
        <w:t xml:space="preserve">Optimize Use Phase Efficiency:</w:t>
      </w:r>
      <w:r>
        <w:t xml:space="preserve"> </w:t>
      </w:r>
      <w:r>
        <w:t xml:space="preserve">Prioritize design improvements for lower energy consumption during the product\'s operational life. Explore smart features or software updates to minimize idle power.</w:t>
      </w:r>
    </w:p>
    <w:p>
      <w:pPr>
        <w:numPr>
          <w:ilvl w:val="0"/>
          <w:numId w:val="1016"/>
        </w:numPr>
        <w:pStyle w:val="Compact"/>
      </w:pPr>
      <w:r>
        <w:rPr>
          <w:bCs/>
          <w:b/>
        </w:rPr>
        <w:t xml:space="preserve">Enhance Renewable Energy Adoption:</w:t>
      </w:r>
      <w:r>
        <w:t xml:space="preserve"> </w:t>
      </w:r>
      <w:r>
        <w:t xml:space="preserve">Increase the percentage of renewable energy used in manufacturing facilities, particularly in regions with carbon-intensive grids like China.</w:t>
      </w:r>
    </w:p>
    <w:p>
      <w:pPr>
        <w:numPr>
          <w:ilvl w:val="0"/>
          <w:numId w:val="1016"/>
        </w:numPr>
        <w:pStyle w:val="Compact"/>
      </w:pPr>
      <w:r>
        <w:rPr>
          <w:bCs/>
          <w:b/>
        </w:rPr>
        <w:t xml:space="preserve">Material Circularity:</w:t>
      </w:r>
      <w:r>
        <w:t xml:space="preserve"> </w:t>
      </w:r>
      <w:r>
        <w:t xml:space="preserve">Invest in R&amp;D for innovative, low-carbon materials and further increase the recycled content. Strengthen the "Advanced take-back and refurbishment program in EU" (shvitpwhth) to maximize material recovery and reuse.</w:t>
      </w:r>
    </w:p>
    <w:p>
      <w:pPr>
        <w:numPr>
          <w:ilvl w:val="0"/>
          <w:numId w:val="1016"/>
        </w:numPr>
        <w:pStyle w:val="Compact"/>
      </w:pPr>
      <w:r>
        <w:rPr>
          <w:bCs/>
          <w:b/>
        </w:rPr>
        <w:t xml:space="preserve">Supply Chain Engagement:</w:t>
      </w:r>
      <w:r>
        <w:t xml:space="preserve"> </w:t>
      </w:r>
      <w:r>
        <w:t xml:space="preserve">Collaborate with key suppliers to obtain primary data on their operational emissions and explore opportunities for joint emissions reduction initiatives, especially for high-impact components.</w:t>
      </w:r>
    </w:p>
    <w:p>
      <w:pPr>
        <w:numPr>
          <w:ilvl w:val="0"/>
          <w:numId w:val="1016"/>
        </w:numPr>
        <w:pStyle w:val="Compact"/>
      </w:pPr>
      <w:r>
        <w:rPr>
          <w:bCs/>
          <w:b/>
        </w:rPr>
        <w:t xml:space="preserve">Design for Longevity &amp; Repairability:</w:t>
      </w:r>
      <w:r>
        <w:t xml:space="preserve"> </w:t>
      </w:r>
      <w:r>
        <w:t xml:space="preserve">Extend product lifespan beyond 7 years through durable design and easier repair, which directly amortizes the upfront embodied emissions over a longer period.</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r>
        <w:t xml:space="preserve"> </w:t>
      </w:r>
      <w:r>
        <w:t xml:space="preserve">of</w:t>
      </w:r>
      <w:r>
        <w:t xml:space="preserve"> </w:t>
      </w:r>
      <w:bookmarkStart w:id="46" w:name="totalPages"/>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tqvoqjetnn</dc:title>
  <dc:creator/>
  <dc:description>Detailed Product Carbon Footprint (PCF) analysis report for product tqvoqjetnn, conducted by Senior Sustainability Consultant qlstxewhig for xrgfmqijlp, adhering to GHG Protocol standards and 2026 LSR updates.</dc:description>
  <dc:language>en</dc:language>
  <cp:keywords/>
  <dcterms:created xsi:type="dcterms:W3CDTF">2026-07-15T09:13:18Z</dcterms:created>
  <dcterms:modified xsi:type="dcterms:W3CDTF">2026-07-15T09:13:18Z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