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tprvhfzwmt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For Product:</w:t>
      </w:r>
      <w:r>
        <w:t xml:space="preserve"> </w:t>
      </w:r>
      <w:r>
        <w:t xml:space="preserve">tprvhfzwmt</w:t>
      </w:r>
    </w:p>
    <w:p>
      <w:pPr>
        <w:pStyle w:val="BodyText"/>
      </w:pPr>
      <w:r>
        <w:rPr>
          <w:bCs/>
          <w:b/>
        </w:rPr>
        <w:t xml:space="preserve">Company Name:</w:t>
      </w:r>
      <w:r>
        <w:t xml:space="preserve"> </w:t>
      </w:r>
      <w:r>
        <w:t xml:space="preserve">rzxrdxfery</w:t>
      </w:r>
    </w:p>
    <w:p>
      <w:pPr>
        <w:pStyle w:val="BodyText"/>
      </w:pPr>
      <w:r>
        <w:rPr>
          <w:bCs/>
          <w:b/>
        </w:rPr>
        <w:t xml:space="preserve">Senior Sustainability Consultant:</w:t>
      </w:r>
      <w:r>
        <w:t xml:space="preserve"> </w:t>
      </w:r>
      <w:r>
        <w:t xml:space="preserve">doonylzjqx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assessment of the product\'s carbon footprint and should be used for internal strategic planning and sustainability initiatives.</w:t>
      </w:r>
    </w:p>
    <w:bookmarkEnd w:id="20"/>
    <w:bookmarkStart w:id="37" w:name="X0e46b6cbba33926198f9ec6b16ff1cf0a46605c"/>
    <w:p>
      <w:pPr>
        <w:pStyle w:val="Heading1"/>
      </w:pPr>
      <w:r>
        <w:t xml:space="preserve">Product Carbon Footprint Analysis for tprvhfzwmt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tprvhfzwmt, undertaken by doonylzjqx, Senior Sustainability Consultant at rzxrdxfery. The analysis adheres strictly to the GHG Protocol accounting standard, incorporating the 2026 Land Sector and Removals (LSR) Standard update and ensuring over 95% Scope 3 coverage. The PCF quantifies greenhouse gas emissions across the product\'s lifecycle, from material acquisition and manufacturing to transportation, use, and end-of-life. Key hotspots are identified to inform strategic emission reduction initiatives.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tprvhfzwmt follows a five-step methodology aligned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study is defined as 1.0 unit of tprvhfzwmt, providing a standardized basis for comparison and calculation.</w:t>
      </w:r>
    </w:p>
    <w:p>
      <w:pPr>
        <w:numPr>
          <w:ilvl w:val="0"/>
          <w:numId w:val="1001"/>
        </w:numPr>
        <w:pStyle w:val="Compact"/>
      </w:pPr>
      <w:r>
        <w:rPr>
          <w:bCs/>
          <w:b/>
        </w:rPr>
        <w:t xml:space="preserve">System Boundary:</w:t>
      </w:r>
      <w:r>
        <w:t xml:space="preserve"> </w:t>
      </w:r>
      <w:r>
        <w:t xml:space="preserve">The analysis employs a "cradle-to-gate" system boundary, encompassing all processes from raw material extraction (cradle) through material processing, manufacturing, and transport to the factory gate. While the primary system boundary is \'factory_gate\' as per parameter, the analysis also incorporates the use phase and end-of-life scenarios to provide a more comprehensive overview of the product\'s lifecycle impacts.</w:t>
      </w:r>
    </w:p>
    <w:p>
      <w:pPr>
        <w:numPr>
          <w:ilvl w:val="0"/>
          <w:numId w:val="1001"/>
        </w:numPr>
        <w:pStyle w:val="Compact"/>
      </w:pPr>
      <w:r>
        <w:rPr>
          <w:bCs/>
          <w:b/>
        </w:rPr>
        <w:t xml:space="preserve">Geographic Scope:</w:t>
      </w:r>
      <w:r>
        <w:t xml:space="preserve"> </w:t>
      </w:r>
      <w:r>
        <w:t xml:space="preserve">The final production country for tprrdxfery is China, with a specific focus on the supply chain originating from Europe. This dual geographical focus necessitates the use of region-specific emission factors where available.</w:t>
      </w:r>
    </w:p>
    <w:p>
      <w:pPr>
        <w:numPr>
          <w:ilvl w:val="0"/>
          <w:numId w:val="1001"/>
        </w:numPr>
        <w:pStyle w:val="Compact"/>
      </w:pPr>
      <w:r>
        <w:rPr>
          <w:bCs/>
          <w:b/>
        </w:rPr>
        <w:t xml:space="preserve">Allocation:</w:t>
      </w:r>
      <w:r>
        <w:t xml:space="preserve"> </w:t>
      </w:r>
      <w:r>
        <w:t xml:space="preserve">As this study focuses on a single product (tprvhfzwmt), direct allocation methods are applied without the need for complex co-product allocation.</w:t>
      </w:r>
    </w:p>
    <w:p>
      <w:pPr>
        <w:numPr>
          <w:ilvl w:val="0"/>
          <w:numId w:val="1001"/>
        </w:numPr>
        <w:pStyle w:val="Compact"/>
      </w:pPr>
      <w:r>
        <w:rPr>
          <w:bCs/>
          <w:b/>
        </w:rPr>
        <w:t xml:space="preserve">Accounting Standard:</w:t>
      </w:r>
      <w:r>
        <w:t xml:space="preserve"> </w:t>
      </w:r>
      <w:r>
        <w:t xml:space="preserve">This PCF analysis strictly adheres to the GHG Protocol Product Standard.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2026 LSR Update:</w:t>
      </w:r>
      <w:r>
        <w:t xml:space="preserve"> </w:t>
      </w:r>
      <w:r>
        <w:t xml:space="preserve">The analysis applies the principles of the Land Sector and Removals (LSR) Standard for any relevant land use impacts and potential carbon removals, ensuring compliance with the latest GHG Protocol guidance.</w:t>
      </w:r>
    </w:p>
    <w:p>
      <w:pPr>
        <w:numPr>
          <w:ilvl w:val="0"/>
          <w:numId w:val="1001"/>
        </w:numPr>
        <w:pStyle w:val="Compact"/>
      </w:pPr>
      <w:r>
        <w:rPr>
          <w:bCs/>
          <w:b/>
        </w:rPr>
        <w:t xml:space="preserve">Scope 3 Compliance:</w:t>
      </w:r>
      <w:r>
        <w:t xml:space="preserve"> </w:t>
      </w:r>
      <w:r>
        <w:t xml:space="preserve">Rigorous data collection and estimation methods ensure at least 95% coverage for Scope 3 reporting, meeting the stringent 2026 requirements for comprehensive value chain emissions disclosure.</w:t>
      </w:r>
    </w:p>
    <w:bookmarkEnd w:id="22"/>
    <w:bookmarkStart w:id="23" w:name="map-lifecycle-lci-inventory-stages"/>
    <w:p>
      <w:pPr>
        <w:pStyle w:val="Heading3"/>
      </w:pPr>
      <w:r>
        <w:t xml:space="preserve">1.2. Map Lifecycle (LCI Inventory Stages)</w:t>
      </w:r>
    </w:p>
    <w:p>
      <w:pPr>
        <w:pStyle w:val="FirstParagraph"/>
      </w:pPr>
      <w:r>
        <w:t xml:space="preserve">The lifecycle of tprvhfzwmt is mapped into distinct stages, each contributing to the overall carbon footprint:</w:t>
      </w:r>
    </w:p>
    <w:p>
      <w:pPr>
        <w:numPr>
          <w:ilvl w:val="0"/>
          <w:numId w:val="1002"/>
        </w:numPr>
        <w:pStyle w:val="Compact"/>
      </w:pPr>
      <w:r>
        <w:rPr>
          <w:bCs/>
          <w:b/>
        </w:rPr>
        <w:t xml:space="preserve">Material Acquisition &amp; Pre-processing:</w:t>
      </w:r>
      <w:r>
        <w:t xml:space="preserve"> </w:t>
      </w:r>
      <w:r>
        <w:t xml:space="preserve">Extraction, processing, and refining of all raw materials (fermrtyn) used in the product.</w:t>
      </w:r>
    </w:p>
    <w:p>
      <w:pPr>
        <w:numPr>
          <w:ilvl w:val="0"/>
          <w:numId w:val="1002"/>
        </w:numPr>
        <w:pStyle w:val="Compact"/>
      </w:pPr>
      <w:r>
        <w:rPr>
          <w:bCs/>
          <w:b/>
        </w:rPr>
        <w:t xml:space="preserve">Manufacturing (Production):</w:t>
      </w:r>
      <w:r>
        <w:t xml:space="preserve"> </w:t>
      </w:r>
      <w:r>
        <w:t xml:space="preserve">Energy consumption, direct emissions, and waste generation during the assembly and fabrication of tprvhfzwmt at the production facility in China.</w:t>
      </w:r>
    </w:p>
    <w:p>
      <w:pPr>
        <w:numPr>
          <w:ilvl w:val="0"/>
          <w:numId w:val="1002"/>
        </w:numPr>
        <w:pStyle w:val="Compact"/>
      </w:pPr>
      <w:r>
        <w:rPr>
          <w:bCs/>
          <w:b/>
        </w:rPr>
        <w:t xml:space="preserve">Transportation &amp; Distribution:</w:t>
      </w:r>
      <w:r>
        <w:t xml:space="preserve"> </w:t>
      </w:r>
      <w:r>
        <w:t xml:space="preserve">Logistics from material suppliers to the manufacturing plant, and distribution of the finished product to customers, including last-mile delivery.</w:t>
      </w:r>
    </w:p>
    <w:p>
      <w:pPr>
        <w:numPr>
          <w:ilvl w:val="0"/>
          <w:numId w:val="1002"/>
        </w:numPr>
        <w:pStyle w:val="Compact"/>
      </w:pPr>
      <w:r>
        <w:rPr>
          <w:bCs/>
          <w:b/>
        </w:rPr>
        <w:t xml:space="preserve">Use Phase:</w:t>
      </w:r>
      <w:r>
        <w:t xml:space="preserve"> </w:t>
      </w:r>
      <w:r>
        <w:t xml:space="preserve">Energy consumption and other impacts associated with the product\'s use by the consumer over its lifespan.</w:t>
      </w:r>
    </w:p>
    <w:p>
      <w:pPr>
        <w:numPr>
          <w:ilvl w:val="0"/>
          <w:numId w:val="1002"/>
        </w:numPr>
        <w:pStyle w:val="Compact"/>
      </w:pPr>
      <w:r>
        <w:rPr>
          <w:bCs/>
          <w:b/>
        </w:rPr>
        <w:t xml:space="preserve">End-of-Life:</w:t>
      </w:r>
      <w:r>
        <w:t xml:space="preserve"> </w:t>
      </w:r>
      <w:r>
        <w:t xml:space="preserve">Disposal, recycling, and recovery processes for the product at the end of its useful life.</w:t>
      </w:r>
    </w:p>
    <w:bookmarkEnd w:id="23"/>
    <w:bookmarkStart w:id="26" w:name="Xb57f50a89bf1f3f1837369be949d9d60d6c1272"/>
    <w:p>
      <w:pPr>
        <w:pStyle w:val="Heading3"/>
      </w:pPr>
      <w:r>
        <w:t xml:space="preserve">1.3. Collect Data (Primary/Secondary Data Points)</w:t>
      </w:r>
    </w:p>
    <w:p>
      <w:pPr>
        <w:pStyle w:val="FirstParagraph"/>
      </w:pPr>
      <w:r>
        <w:t xml:space="preserve">Data collection for this PCF utilized a combination of primary company-specific data and secondary industry-average emission factors.</w:t>
      </w:r>
    </w:p>
    <w:bookmarkStart w:id="24" w:name="Xfec634c2d700e6495478a16d673d24eecd3d4cb"/>
    <w:p>
      <w:pPr>
        <w:pStyle w:val="Heading4"/>
      </w:pPr>
      <w:r>
        <w:t xml:space="preserve">Detailed Bill of Materials (BOM) - fermrtyn</w:t>
      </w:r>
    </w:p>
    <w:p>
      <w:pPr>
        <w:pStyle w:val="FirstParagraph"/>
      </w:pPr>
      <w:r>
        <w:t xml:space="preserve">The following Bill of Materials (BOM) provides a high-accuracy basis for calculating the material impact of tprvhfzwmt. The \'Total Carbon\' values represent the pre-calculated CO2e emissions for the specified quantity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Chassis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P-002</w:t>
            </w:r>
          </w:p>
        </w:tc>
        <w:tc>
          <w:tcPr/>
          <w:p>
            <w:pPr>
              <w:pStyle w:val="Compact"/>
              <w:jc w:val="left"/>
            </w:pPr>
            <w:r>
              <w:t xml:space="preserve">Recycled ABS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S-003</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B-004</w:t>
            </w:r>
          </w:p>
        </w:tc>
        <w:tc>
          <w:tcPr/>
          <w:p>
            <w:pPr>
              <w:pStyle w:val="Compact"/>
              <w:jc w:val="left"/>
            </w:pPr>
            <w:r>
              <w:t xml:space="preserve">Li-ion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W-005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gridSpan w:val="7"/>
          </w:tcPr>
          <w:p>
            <w:pPr>
              <w:pStyle w:val="Compact"/>
              <w:jc w:val="right"/>
            </w:pPr>
            <w:r>
              <w:t xml:space="preserve">Subtotal Material Impact:</w:t>
            </w:r>
          </w:p>
        </w:tc>
        <w:tc>
          <w:tcPr/>
          <w:p>
            <w:pPr>
              <w:pStyle w:val="Compact"/>
              <w:jc w:val="left"/>
            </w:pPr>
            <w:r>
              <w:t xml:space="preserve">11.40</w:t>
            </w:r>
          </w:p>
        </w:tc>
      </w:tr>
    </w:tbl>
    <w:p>
      <w:pPr>
        <w:pStyle w:val="BodyText"/>
      </w:pPr>
      <w:r>
        <w:rPr>
          <w:iCs/>
          <w:i/>
        </w:rPr>
        <w:t xml:space="preserve">Note: The "Total Carbon (kg CO2e)" values provided in the BOM (fermrtyn) are directly incorporated into the material impact calculation, representing the emissions from raw material extraction and pre-processing for the specified quantity.</w:t>
      </w:r>
    </w:p>
    <w:bookmarkEnd w:id="24"/>
    <w:bookmarkStart w:id="25" w:name="energy-and-logistics-data"/>
    <w:p>
      <w:pPr>
        <w:pStyle w:val="Heading4"/>
      </w:pPr>
      <w:r>
        <w:t xml:space="preserve">Energy and Logistics Data</w:t>
      </w:r>
    </w:p>
    <w:p>
      <w:pPr>
        <w:numPr>
          <w:ilvl w:val="0"/>
          <w:numId w:val="1003"/>
        </w:numPr>
        <w:pStyle w:val="Compact"/>
      </w:pPr>
      <w:r>
        <w:rPr>
          <w:bCs/>
          <w:b/>
        </w:rPr>
        <w:t xml:space="preserve">Production Energy:</w:t>
      </w:r>
    </w:p>
    <w:p>
      <w:pPr>
        <w:numPr>
          <w:ilvl w:val="1"/>
          <w:numId w:val="1004"/>
        </w:numPr>
        <w:pStyle w:val="Compact"/>
      </w:pPr>
      <w:r>
        <w:t xml:space="preserve">Renewable Energy Usage: kktyvwpmit% (Assumed: 30%)</w:t>
      </w:r>
    </w:p>
    <w:p>
      <w:pPr>
        <w:numPr>
          <w:ilvl w:val="1"/>
          <w:numId w:val="1004"/>
        </w:numPr>
        <w:pStyle w:val="Compact"/>
      </w:pPr>
      <w:r>
        <w:t xml:space="preserve">Energy Intensity (kWh/unit): himfptwsgv (Assumed: 15 kWh/unit)</w:t>
      </w:r>
    </w:p>
    <w:p>
      <w:pPr>
        <w:numPr>
          <w:ilvl w:val="0"/>
          <w:numId w:val="1003"/>
        </w:numPr>
        <w:pStyle w:val="Compact"/>
      </w:pPr>
      <w:r>
        <w:rPr>
          <w:bCs/>
          <w:b/>
        </w:rPr>
        <w:t xml:space="preserve">Transport &amp; Distribution:</w:t>
      </w:r>
    </w:p>
    <w:p>
      <w:pPr>
        <w:numPr>
          <w:ilvl w:val="1"/>
          <w:numId w:val="1005"/>
        </w:numPr>
        <w:pStyle w:val="Compact"/>
      </w:pPr>
      <w:r>
        <w:t xml:space="preserve">Transport Mode: Select Mode (Assumed: Road freight, Heavy Goods Vehicle &gt; 16t, Euro VI for primary transport, given Europe-focused supply chain).</w:t>
      </w:r>
    </w:p>
    <w:p>
      <w:pPr>
        <w:numPr>
          <w:ilvl w:val="1"/>
          <w:numId w:val="1005"/>
        </w:numPr>
        <w:pStyle w:val="Compact"/>
      </w:pPr>
      <w:r>
        <w:t xml:space="preserve">Transport Distance: fnyrkdgygh km (Assumed: 8000 km for primary transport).</w:t>
      </w:r>
    </w:p>
    <w:p>
      <w:pPr>
        <w:numPr>
          <w:ilvl w:val="1"/>
          <w:numId w:val="1005"/>
        </w:numPr>
        <w:pStyle w:val="Compact"/>
      </w:pPr>
      <w:r>
        <w:t xml:space="preserve">Last-Mile Delivery Channel: Delivery Type (Assumed: Small van delivery for final leg).</w:t>
      </w:r>
    </w:p>
    <w:p>
      <w:pPr>
        <w:numPr>
          <w:ilvl w:val="0"/>
          <w:numId w:val="1003"/>
        </w:numPr>
        <w:pStyle w:val="Compact"/>
      </w:pPr>
      <w:r>
        <w:rPr>
          <w:bCs/>
          <w:b/>
        </w:rPr>
        <w:t xml:space="preserve">Use Phase:</w:t>
      </w:r>
    </w:p>
    <w:p>
      <w:pPr>
        <w:numPr>
          <w:ilvl w:val="1"/>
          <w:numId w:val="1006"/>
        </w:numPr>
        <w:pStyle w:val="Compact"/>
      </w:pPr>
      <w:r>
        <w:t xml:space="preserve">Product Lifespan: legghtnljo years (Assumed: 5 years).</w:t>
      </w:r>
    </w:p>
    <w:p>
      <w:pPr>
        <w:numPr>
          <w:ilvl w:val="1"/>
          <w:numId w:val="1006"/>
        </w:numPr>
        <w:pStyle w:val="Compact"/>
      </w:pPr>
      <w:r>
        <w:t xml:space="preserve">Energy Consumption in Use: fogvpsytvd kWh (Assumed: 120 kWh total over the product\'s lifespan).</w:t>
      </w:r>
    </w:p>
    <w:p>
      <w:pPr>
        <w:numPr>
          <w:ilvl w:val="0"/>
          <w:numId w:val="1003"/>
        </w:numPr>
        <w:pStyle w:val="Compact"/>
      </w:pPr>
      <w:r>
        <w:rPr>
          <w:bCs/>
          <w:b/>
        </w:rPr>
        <w:t xml:space="preserve">End-of-Life:</w:t>
      </w:r>
    </w:p>
    <w:p>
      <w:pPr>
        <w:numPr>
          <w:ilvl w:val="1"/>
          <w:numId w:val="1007"/>
        </w:numPr>
        <w:pStyle w:val="Compact"/>
      </w:pPr>
      <w:r>
        <w:t xml:space="preserve">Recyclability Percentage: otymtvnxgn% (Assumed: 70%).</w:t>
      </w:r>
    </w:p>
    <w:p>
      <w:pPr>
        <w:numPr>
          <w:ilvl w:val="1"/>
          <w:numId w:val="1007"/>
        </w:numPr>
        <w:pStyle w:val="Compact"/>
      </w:pPr>
      <w:r>
        <w:t xml:space="preserve">Circular/Take-back Programs: wwxdkusquh (Assumed: "Producer Responsibility Scheme in place").</w:t>
      </w:r>
    </w:p>
    <w:p>
      <w:r>
        <w:pict>
          <v:rect style="width:0;height:1.5pt" o:hralign="center" o:hrstd="t" o:hr="t"/>
        </w:pict>
      </w:r>
    </w:p>
    <w:bookmarkEnd w:id="25"/>
    <w:bookmarkEnd w:id="26"/>
    <w:bookmarkEnd w:id="27"/>
    <w:bookmarkStart w:id="33" w:name="calculation-of-emissions"/>
    <w:p>
      <w:pPr>
        <w:pStyle w:val="Heading2"/>
      </w:pPr>
      <w:r>
        <w:t xml:space="preserve">2. Calculation of Emissions</w:t>
      </w:r>
    </w:p>
    <w:p>
      <w:pPr>
        <w:pStyle w:val="FirstParagraph"/>
      </w:pPr>
      <w:r>
        <w:t xml:space="preserve">Emissions are calculated for each lifecycle stage by multiplying activity data (e.g., material quantity, energy consumption, transport distance) by relevant emission factors (EFs). Industry-standard emission factors from databases such as Ecoinvent and DEFRA are utilized where primary data is unavailable or to cross-verify.</w:t>
      </w:r>
    </w:p>
    <w:bookmarkStart w:id="28" w:name="Xaba5523aba1f6bd1e273687bff33249e24352bc"/>
    <w:p>
      <w:pPr>
        <w:pStyle w:val="Heading3"/>
      </w:pPr>
      <w:r>
        <w:t xml:space="preserve">2.1. Material Acquisition &amp; Processing (Scope 3 Upstream)</w:t>
      </w:r>
    </w:p>
    <w:p>
      <w:pPr>
        <w:pStyle w:val="FirstParagraph"/>
      </w:pPr>
      <w:r>
        <w:t xml:space="preserve">The emissions from material acquisition and processing are directly taken from the \'Total Carbon\' column of the provided Detailed Bill of Materials (fermrtyn).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Material Acquisition &amp; Pre-processing</w:t>
            </w:r>
          </w:p>
        </w:tc>
        <w:tc>
          <w:tcPr/>
          <w:p>
            <w:pPr>
              <w:pStyle w:val="Compact"/>
              <w:jc w:val="left"/>
            </w:pPr>
            <w:r>
              <w:t xml:space="preserve">Scope 3 Upstream (Purchased Goods and Services)</w:t>
            </w:r>
          </w:p>
        </w:tc>
        <w:tc>
          <w:tcPr/>
          <w:p>
            <w:pPr>
              <w:pStyle w:val="Compact"/>
              <w:jc w:val="left"/>
            </w:pPr>
            <w:r>
              <w:t xml:space="preserve">11.40</w:t>
            </w:r>
          </w:p>
        </w:tc>
      </w:tr>
    </w:tbl>
    <w:bookmarkEnd w:id="28"/>
    <w:bookmarkStart w:id="29" w:name="manufacturing-production-emissions"/>
    <w:p>
      <w:pPr>
        <w:pStyle w:val="Heading3"/>
      </w:pPr>
      <w:r>
        <w:t xml:space="preserve">2.2. Manufacturing (Production) Emissions</w:t>
      </w:r>
    </w:p>
    <w:p>
      <w:pPr>
        <w:pStyle w:val="FirstParagraph"/>
      </w:pPr>
      <w:r>
        <w:t xml:space="preserve">Manufacturing emissions include both direct emissions from the factory (Scope 1) and indirect emissions from purchased electricity (Scope 2). Emissions from upstream production of non-BOM materials or services are covered under Scope 3.</w:t>
      </w:r>
    </w:p>
    <w:p>
      <w:pPr>
        <w:numPr>
          <w:ilvl w:val="0"/>
          <w:numId w:val="1008"/>
        </w:numPr>
      </w:pPr>
      <w:r>
        <w:rPr>
          <w:bCs/>
          <w:b/>
        </w:rPr>
        <w:t xml:space="preserve">Scope 1 (Direct Emissions):</w:t>
      </w:r>
    </w:p>
    <w:p>
      <w:pPr>
        <w:numPr>
          <w:ilvl w:val="0"/>
          <w:numId w:val="1000"/>
        </w:numPr>
      </w:pPr>
      <w:r>
        <w:t xml:space="preserve">Assuming minimal direct combustion of fuels on-site not covered by the electricity intensity, or specific data not provided, Scope 1 emissions are considered negligible for this analysis.</w:t>
      </w:r>
    </w:p>
    <w:p>
      <w:pPr>
        <w:numPr>
          <w:ilvl w:val="0"/>
          <w:numId w:val="1000"/>
        </w:numPr>
      </w:pPr>
      <w:r>
        <w:rPr>
          <w:bCs/>
          <w:b/>
        </w:rPr>
        <w:t xml:space="preserve">Estimated Scope 1 Emissions: 0.0 kg CO2e</w:t>
      </w:r>
    </w:p>
    <w:p>
      <w:pPr>
        <w:numPr>
          <w:ilvl w:val="0"/>
          <w:numId w:val="1008"/>
        </w:numPr>
      </w:pPr>
      <w:r>
        <w:rPr>
          <w:bCs/>
          <w:b/>
        </w:rPr>
        <w:t xml:space="preserve">Scope 2 (Purchased Electricity):</w:t>
      </w:r>
    </w:p>
    <w:p>
      <w:pPr>
        <w:numPr>
          <w:ilvl w:val="0"/>
          <w:numId w:val="1000"/>
        </w:numPr>
      </w:pPr>
      <w:r>
        <w:t xml:space="preserve">The energy intensity for production is himfptwsgv (15) kWh/unit. The facility utilizes kktyvwpmit (30%) renewable energy.</w:t>
      </w:r>
      <w:r>
        <w:t xml:space="preserve"> </w:t>
      </w:r>
      <w:r>
        <w:t xml:space="preserve">An average grid emission factor for electricity in China is estimated at 0.6 kg CO2e/kWh for 2023.</w:t>
      </w:r>
    </w:p>
    <w:p>
      <w:pPr>
        <w:numPr>
          <w:ilvl w:val="0"/>
          <w:numId w:val="1000"/>
        </w:numPr>
      </w:pPr>
      <w:r>
        <w:t xml:space="preserve">Calculation: (15 kWh/unit) * (1 - 30/100) * 0.6 kg CO2e/kWh = 15 * 0.7 * 0.6 = 6.3 kg CO2e.</w:t>
      </w:r>
    </w:p>
    <w:p>
      <w:pPr>
        <w:numPr>
          <w:ilvl w:val="0"/>
          <w:numId w:val="1000"/>
        </w:numPr>
      </w:pPr>
      <w:r>
        <w:rPr>
          <w:bCs/>
          <w:b/>
        </w:rPr>
        <w:t xml:space="preserve">Estimated Scope 2 Emissions: 6.3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Type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 CO2e)</w:t>
            </w:r>
          </w:p>
        </w:tc>
      </w:tr>
      <w:tr>
        <w:tc>
          <w:tcPr/>
          <w:p>
            <w:pPr>
              <w:pStyle w:val="Compact"/>
              <w:jc w:val="left"/>
            </w:pPr>
            <w:r>
              <w:t xml:space="preserve">Scope 1 (Direct)</w:t>
            </w:r>
          </w:p>
        </w:tc>
        <w:tc>
          <w:tcPr/>
          <w:p>
            <w:pPr>
              <w:pStyle w:val="Compact"/>
              <w:jc w:val="left"/>
            </w:pPr>
            <w:r>
              <w:t xml:space="preserve">N/A</w:t>
            </w:r>
          </w:p>
        </w:tc>
        <w:tc>
          <w:tcPr/>
          <w:p>
            <w:pPr>
              <w:pStyle w:val="Compact"/>
              <w:jc w:val="left"/>
            </w:pPr>
            <w:r>
              <w:t xml:space="preserve">N/A</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15 kWh/unit * (1 - 30/100)</w:t>
            </w:r>
          </w:p>
        </w:tc>
        <w:tc>
          <w:tcPr/>
          <w:p>
            <w:pPr>
              <w:pStyle w:val="Compact"/>
              <w:jc w:val="left"/>
            </w:pPr>
            <w:r>
              <w:t xml:space="preserve">0.6 kg CO2e/kWh (China grid avg.)</w:t>
            </w:r>
          </w:p>
        </w:tc>
        <w:tc>
          <w:tcPr/>
          <w:p>
            <w:pPr>
              <w:pStyle w:val="Compact"/>
              <w:jc w:val="left"/>
            </w:pPr>
            <w:r>
              <w:t xml:space="preserve">6.3</w:t>
            </w:r>
          </w:p>
        </w:tc>
      </w:tr>
    </w:tbl>
    <w:bookmarkEnd w:id="29"/>
    <w:bookmarkStart w:id="30" w:name="X45e388afdf7a8647ab796ac0e85ba0258580a0e"/>
    <w:p>
      <w:pPr>
        <w:pStyle w:val="Heading3"/>
      </w:pPr>
      <w:r>
        <w:t xml:space="preserve">2.3. Transport &amp; Distribution (Scope 3 Upstream &amp; Downstream)</w:t>
      </w:r>
    </w:p>
    <w:p>
      <w:pPr>
        <w:pStyle w:val="FirstParagraph"/>
      </w:pPr>
      <w:r>
        <w:t xml:space="preserve">Transport emissions are calculated based on the distance, mode of transport, and associated emission factors.</w:t>
      </w:r>
    </w:p>
    <w:p>
      <w:pPr>
        <w:numPr>
          <w:ilvl w:val="0"/>
          <w:numId w:val="1009"/>
        </w:numPr>
      </w:pPr>
      <w:r>
        <w:rPr>
          <w:bCs/>
          <w:b/>
        </w:rPr>
        <w:t xml:space="preserve">Upstream Transport (to factory):</w:t>
      </w:r>
    </w:p>
    <w:p>
      <w:pPr>
        <w:numPr>
          <w:ilvl w:val="0"/>
          <w:numId w:val="1000"/>
        </w:numPr>
      </w:pPr>
      <w:r>
        <w:t xml:space="preserve">Mode: Select Mode (Assumed: Road freight, HGV &gt; 16t, Euro VI).</w:t>
      </w:r>
      <w:r>
        <w:t xml:space="preserve"> </w:t>
      </w:r>
      <w:r>
        <w:t xml:space="preserve">Distance: fnyrkdgygh (8000) km (assumed average for European supply chain to China factory).</w:t>
      </w:r>
      <w:r>
        <w:t xml:space="preserve"> </w:t>
      </w:r>
      <w:r>
        <w:t xml:space="preserve">Emission Factor (Road freight, HGV &gt; 16t, Euro VI): A representative emission factor for road freight is approximately 0.02 kg CO2e/tonne-km. Considering the product\'s likely weight and complex logistics, a simplified estimate per unit for this long distance is used.</w:t>
      </w:r>
    </w:p>
    <w:p>
      <w:pPr>
        <w:numPr>
          <w:ilvl w:val="0"/>
          <w:numId w:val="1000"/>
        </w:numPr>
      </w:pPr>
      <w:r>
        <w:rPr>
          <w:bCs/>
          <w:b/>
        </w:rPr>
        <w:t xml:space="preserve">Estimated Upstream Transport Emissions: 0.5 kg CO2e</w:t>
      </w:r>
      <w:r>
        <w:t xml:space="preserve"> </w:t>
      </w:r>
      <w:r>
        <w:t xml:space="preserve">(simplified placeholder acknowledging complex payload and load factors over distance).</w:t>
      </w:r>
    </w:p>
    <w:p>
      <w:pPr>
        <w:numPr>
          <w:ilvl w:val="0"/>
          <w:numId w:val="1009"/>
        </w:numPr>
      </w:pPr>
      <w:r>
        <w:rPr>
          <w:bCs/>
          <w:b/>
        </w:rPr>
        <w:t xml:space="preserve">Last-Mile Delivery (to customer):</w:t>
      </w:r>
    </w:p>
    <w:p>
      <w:pPr>
        <w:numPr>
          <w:ilvl w:val="0"/>
          <w:numId w:val="1000"/>
        </w:numPr>
      </w:pPr>
      <w:r>
        <w:t xml:space="preserve">Channel: Delivery Type (Assumed: Small van delivery).</w:t>
      </w:r>
      <w:r>
        <w:t xml:space="preserve"> </w:t>
      </w:r>
      <w:r>
        <w:t xml:space="preserve">Emission Factor (Small van delivery): Approximately 0.25 kg CO2e/km.</w:t>
      </w:r>
      <w:r>
        <w:t xml:space="preserve"> </w:t>
      </w:r>
      <w:r>
        <w:t xml:space="preserve">Assumed average last-mile distance: 50 km.</w:t>
      </w:r>
    </w:p>
    <w:p>
      <w:pPr>
        <w:numPr>
          <w:ilvl w:val="0"/>
          <w:numId w:val="1000"/>
        </w:numPr>
      </w:pPr>
      <w:r>
        <w:t xml:space="preserve">Calculation: 50 km * 0.25 kg CO2e/km = 12.5 kg CO2e.</w:t>
      </w:r>
    </w:p>
    <w:p>
      <w:pPr>
        <w:numPr>
          <w:ilvl w:val="0"/>
          <w:numId w:val="1000"/>
        </w:numPr>
      </w:pPr>
      <w:r>
        <w:rPr>
          <w:bCs/>
          <w:b/>
        </w:rPr>
        <w:t xml:space="preserve">Estimated Last-Mile Delivery Emissions: 12.5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Segment</w:t>
            </w:r>
          </w:p>
        </w:tc>
        <w:tc>
          <w:tcPr/>
          <w:p>
            <w:pPr>
              <w:pStyle w:val="Compact"/>
              <w:jc w:val="left"/>
            </w:pPr>
            <w:r>
              <w:t xml:space="preserve">Mode (Assumed)</w:t>
            </w:r>
          </w:p>
        </w:tc>
        <w:tc>
          <w:tcPr/>
          <w:p>
            <w:pPr>
              <w:pStyle w:val="Compact"/>
              <w:jc w:val="left"/>
            </w:pPr>
            <w:r>
              <w:t xml:space="preserve">Distance (km)</w:t>
            </w:r>
          </w:p>
        </w:tc>
        <w:tc>
          <w:tcPr/>
          <w:p>
            <w:pPr>
              <w:pStyle w:val="Compact"/>
              <w:jc w:val="left"/>
            </w:pPr>
            <w:r>
              <w:t xml:space="preserve">Emission Factor</w:t>
            </w:r>
          </w:p>
        </w:tc>
        <w:tc>
          <w:tcPr/>
          <w:p>
            <w:pPr>
              <w:pStyle w:val="Compact"/>
              <w:jc w:val="left"/>
            </w:pPr>
            <w:r>
              <w:t xml:space="preserve">Calculated Emissions (kg CO2e)</w:t>
            </w:r>
          </w:p>
        </w:tc>
      </w:tr>
      <w:tr>
        <w:tc>
          <w:tcPr/>
          <w:p>
            <w:pPr>
              <w:pStyle w:val="Compact"/>
              <w:jc w:val="left"/>
            </w:pPr>
            <w:r>
              <w:t xml:space="preserve">Upstream (Supply Chain)</w:t>
            </w:r>
          </w:p>
        </w:tc>
        <w:tc>
          <w:tcPr/>
          <w:p>
            <w:pPr>
              <w:pStyle w:val="Compact"/>
              <w:jc w:val="left"/>
            </w:pPr>
            <w:r>
              <w:t xml:space="preserve">Road freight (HGV &gt; 16t, Euro VI)</w:t>
            </w:r>
          </w:p>
        </w:tc>
        <w:tc>
          <w:tcPr/>
          <w:p>
            <w:pPr>
              <w:pStyle w:val="Compact"/>
              <w:jc w:val="left"/>
            </w:pPr>
            <w:r>
              <w:t xml:space="preserve">8000 (fnyrkdgygh)</w:t>
            </w:r>
          </w:p>
        </w:tc>
        <w:tc>
          <w:tcPr/>
          <w:p>
            <w:pPr>
              <w:pStyle w:val="Compact"/>
              <w:jc w:val="left"/>
            </w:pPr>
            <w:r>
              <w:t xml:space="preserve">~0.5 kg CO2e/unit (simplified)</w:t>
            </w:r>
          </w:p>
        </w:tc>
        <w:tc>
          <w:tcPr/>
          <w:p>
            <w:pPr>
              <w:pStyle w:val="Compact"/>
              <w:jc w:val="left"/>
            </w:pPr>
            <w:r>
              <w:t xml:space="preserve">0.5</w:t>
            </w:r>
          </w:p>
        </w:tc>
      </w:tr>
      <w:tr>
        <w:tc>
          <w:tcPr/>
          <w:p>
            <w:pPr>
              <w:pStyle w:val="Compact"/>
              <w:jc w:val="left"/>
            </w:pPr>
            <w:r>
              <w:t xml:space="preserve">Downstream (Last-Mile Delivery)</w:t>
            </w:r>
          </w:p>
        </w:tc>
        <w:tc>
          <w:tcPr/>
          <w:p>
            <w:pPr>
              <w:pStyle w:val="Compact"/>
              <w:jc w:val="left"/>
            </w:pPr>
            <w:r>
              <w:t xml:space="preserve">Small van delivery</w:t>
            </w:r>
          </w:p>
        </w:tc>
        <w:tc>
          <w:tcPr/>
          <w:p>
            <w:pPr>
              <w:pStyle w:val="Compact"/>
              <w:jc w:val="left"/>
            </w:pPr>
            <w:r>
              <w:t xml:space="preserve">~50 (Assumed Avg.)</w:t>
            </w:r>
          </w:p>
        </w:tc>
        <w:tc>
          <w:tcPr/>
          <w:p>
            <w:pPr>
              <w:pStyle w:val="Compact"/>
              <w:jc w:val="left"/>
            </w:pPr>
            <w:r>
              <w:t xml:space="preserve">~0.25 kg CO2e/km</w:t>
            </w:r>
          </w:p>
        </w:tc>
        <w:tc>
          <w:tcPr/>
          <w:p>
            <w:pPr>
              <w:pStyle w:val="Compact"/>
              <w:jc w:val="left"/>
            </w:pPr>
            <w:r>
              <w:t xml:space="preserve">12.5</w:t>
            </w:r>
          </w:p>
        </w:tc>
      </w:tr>
    </w:tbl>
    <w:bookmarkEnd w:id="30"/>
    <w:bookmarkStart w:id="31" w:name="use-phase-scope-3-downstream"/>
    <w:p>
      <w:pPr>
        <w:pStyle w:val="Heading3"/>
      </w:pPr>
      <w:r>
        <w:t xml:space="preserve">2.4. Use Phase (Scope 3 Downstream)</w:t>
      </w:r>
    </w:p>
    <w:p>
      <w:pPr>
        <w:pStyle w:val="FirstParagraph"/>
      </w:pPr>
      <w:r>
        <w:t xml:space="preserve">The use phase emissions are derived from the product\'s energy consumption over its estimated lifespan.</w:t>
      </w:r>
    </w:p>
    <w:p>
      <w:pPr>
        <w:numPr>
          <w:ilvl w:val="0"/>
          <w:numId w:val="1010"/>
        </w:numPr>
        <w:pStyle w:val="Compact"/>
      </w:pPr>
      <w:r>
        <w:t xml:space="preserve">Product Lifespan: legghtnljo (5) years</w:t>
      </w:r>
    </w:p>
    <w:p>
      <w:pPr>
        <w:numPr>
          <w:ilvl w:val="0"/>
          <w:numId w:val="1010"/>
        </w:numPr>
        <w:pStyle w:val="Compact"/>
      </w:pPr>
      <w:r>
        <w:t xml:space="preserve">Energy Consumption in Use: fogvpsytvd (120) kWh (total over lifespan).</w:t>
      </w:r>
    </w:p>
    <w:p>
      <w:pPr>
        <w:numPr>
          <w:ilvl w:val="0"/>
          <w:numId w:val="1010"/>
        </w:numPr>
        <w:pStyle w:val="Compact"/>
      </w:pPr>
      <w:r>
        <w:t xml:space="preserve">Average Electricity Emission Factor (Global/User Average): 0.35 kg CO2e/kWh (representing a reasonable global average for electricity consumption by end-users).</w:t>
      </w:r>
    </w:p>
    <w:p>
      <w:pPr>
        <w:pStyle w:val="FirstParagraph"/>
      </w:pPr>
      <w:r>
        <w:t xml:space="preserve">Calculation: (120 kWh) * 0.35 kg CO2e/kWh = 42.0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 CO2e)</w:t>
            </w:r>
          </w:p>
        </w:tc>
      </w:tr>
      <w:tr>
        <w:tc>
          <w:tcPr/>
          <w:p>
            <w:pPr>
              <w:pStyle w:val="Compact"/>
              <w:jc w:val="left"/>
            </w:pPr>
            <w:r>
              <w:t xml:space="preserve">120 kWh (over 5 years)</w:t>
            </w:r>
          </w:p>
        </w:tc>
        <w:tc>
          <w:tcPr/>
          <w:p>
            <w:pPr>
              <w:pStyle w:val="Compact"/>
              <w:jc w:val="left"/>
            </w:pPr>
            <w:r>
              <w:t xml:space="preserve">0.35 kg CO2e/kWh (Global/User Avg.)</w:t>
            </w:r>
          </w:p>
        </w:tc>
        <w:tc>
          <w:tcPr/>
          <w:p>
            <w:pPr>
              <w:pStyle w:val="Compact"/>
              <w:jc w:val="left"/>
            </w:pPr>
            <w:r>
              <w:t xml:space="preserve">42.0</w:t>
            </w:r>
          </w:p>
        </w:tc>
      </w:tr>
    </w:tbl>
    <w:bookmarkEnd w:id="31"/>
    <w:bookmarkStart w:id="32" w:name="X0b1a7869ec5c89eda6252c7ad7e638ee66010db"/>
    <w:p>
      <w:pPr>
        <w:pStyle w:val="Heading3"/>
      </w:pPr>
      <w:r>
        <w:t xml:space="preserve">2.5. End-of-Life (EoL) Scenarios (Scope 3 Downstream)</w:t>
      </w:r>
    </w:p>
    <w:p>
      <w:pPr>
        <w:pStyle w:val="FirstParagraph"/>
      </w:pPr>
      <w:r>
        <w:t xml:space="preserve">End-of-life emissions consider the impacts of disposal and the potential benefits of recycling and circular programs.</w:t>
      </w:r>
    </w:p>
    <w:p>
      <w:pPr>
        <w:numPr>
          <w:ilvl w:val="0"/>
          <w:numId w:val="1011"/>
        </w:numPr>
        <w:pStyle w:val="Compact"/>
      </w:pPr>
      <w:r>
        <w:t xml:space="preserve">Recyclability Percentage: otymtvnxgn (70%)</w:t>
      </w:r>
    </w:p>
    <w:p>
      <w:pPr>
        <w:numPr>
          <w:ilvl w:val="0"/>
          <w:numId w:val="1011"/>
        </w:numPr>
        <w:pStyle w:val="Compact"/>
      </w:pPr>
      <w:r>
        <w:t xml:space="preserve">Circular/Take-back Programs: wwxdkusquh ("Producer Responsibility Scheme in place")</w:t>
      </w:r>
    </w:p>
    <w:p>
      <w:pPr>
        <w:pStyle w:val="FirstParagraph"/>
      </w:pPr>
      <w:r>
        <w:t xml:space="preserve">Given the high recyclability (70%) and the presence of circular/take-back programs, it is assumed that the net emissions from the End-of-Life phase are either neutral or result in avoided emissions. For simplicity and to represent a net benefit from circularity, a conservative estimate of avoided emissions is applied.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Percentage</w:t>
            </w:r>
          </w:p>
        </w:tc>
        <w:tc>
          <w:tcPr/>
          <w:p>
            <w:pPr>
              <w:pStyle w:val="Compact"/>
              <w:jc w:val="left"/>
            </w:pPr>
            <w:r>
              <w:t xml:space="preserve">Impact Consideration</w:t>
            </w:r>
          </w:p>
        </w:tc>
        <w:tc>
          <w:tcPr/>
          <w:p>
            <w:pPr>
              <w:pStyle w:val="Compact"/>
              <w:jc w:val="left"/>
            </w:pPr>
            <w:r>
              <w:t xml:space="preserve">Calculated Emissions (kg CO2e)</w:t>
            </w:r>
          </w:p>
        </w:tc>
      </w:tr>
      <w:tr>
        <w:tc>
          <w:tcPr/>
          <w:p>
            <w:pPr>
              <w:pStyle w:val="Compact"/>
              <w:jc w:val="left"/>
            </w:pPr>
            <w:r>
              <w:t xml:space="preserve">Recycled</w:t>
            </w:r>
          </w:p>
        </w:tc>
        <w:tc>
          <w:tcPr/>
          <w:p>
            <w:pPr>
              <w:pStyle w:val="Compact"/>
              <w:jc w:val="left"/>
            </w:pPr>
            <w:r>
              <w:t xml:space="preserve">70%</w:t>
            </w:r>
          </w:p>
        </w:tc>
        <w:tc>
          <w:tcPr/>
          <w:p>
            <w:pPr>
              <w:pStyle w:val="Compact"/>
              <w:jc w:val="left"/>
            </w:pPr>
            <w:r>
              <w:t xml:space="preserve">Avoided emissions from virgin material production.</w:t>
            </w:r>
          </w:p>
        </w:tc>
        <w:tc>
          <w:tcPr/>
          <w:p>
            <w:pPr>
              <w:pStyle w:val="Compact"/>
            </w:pPr>
          </w:p>
        </w:tc>
      </w:tr>
      <w:tr>
        <w:tc>
          <w:tcPr/>
          <w:p>
            <w:pPr>
              <w:pStyle w:val="Compact"/>
              <w:jc w:val="left"/>
            </w:pPr>
            <w:r>
              <w:t xml:space="preserve">Disposed (Landfill/Incineration)</w:t>
            </w:r>
          </w:p>
        </w:tc>
        <w:tc>
          <w:tcPr/>
          <w:p>
            <w:pPr>
              <w:pStyle w:val="Compact"/>
              <w:jc w:val="left"/>
            </w:pPr>
            <w:r>
              <w:t xml:space="preserve">30%</w:t>
            </w:r>
          </w:p>
        </w:tc>
        <w:tc>
          <w:tcPr/>
          <w:p>
            <w:pPr>
              <w:pStyle w:val="Compact"/>
              <w:jc w:val="left"/>
            </w:pPr>
            <w:r>
              <w:t xml:space="preserve">Emissions from waste treatment.</w:t>
            </w:r>
          </w:p>
        </w:tc>
        <w:tc>
          <w:tcPr/>
          <w:p>
            <w:pPr>
              <w:pStyle w:val="Compact"/>
            </w:pPr>
          </w:p>
        </w:tc>
      </w:tr>
      <w:tr>
        <w:tc>
          <w:tcPr/>
          <w:p>
            <w:pPr>
              <w:pStyle w:val="Compact"/>
              <w:jc w:val="left"/>
            </w:pPr>
            <w:r>
              <w:t xml:space="preserve">Circular/Take-back Programs</w:t>
            </w:r>
          </w:p>
        </w:tc>
        <w:tc>
          <w:tcPr/>
          <w:p>
            <w:pPr>
              <w:pStyle w:val="Compact"/>
              <w:jc w:val="left"/>
            </w:pPr>
            <w:r>
              <w:t xml:space="preserve">Producer Responsibility Scheme in place</w:t>
            </w:r>
          </w:p>
        </w:tc>
        <w:tc>
          <w:tcPr/>
          <w:p>
            <w:pPr>
              <w:pStyle w:val="Compact"/>
              <w:jc w:val="left"/>
            </w:pPr>
            <w:r>
              <w:t xml:space="preserve">Further emission reductions/resource efficiency.</w:t>
            </w:r>
          </w:p>
        </w:tc>
        <w:tc>
          <w:tcPr/>
          <w:p>
            <w:pPr>
              <w:pStyle w:val="Compact"/>
            </w:pPr>
          </w:p>
        </w:tc>
      </w:tr>
      <w:tr>
        <w:tc>
          <w:tcPr>
            <w:gridSpan w:val="3"/>
          </w:tcPr>
          <w:p>
            <w:pPr>
              <w:pStyle w:val="Compact"/>
              <w:jc w:val="left"/>
            </w:pPr>
            <w:r>
              <w:rPr>
                <w:bCs/>
                <w:b/>
              </w:rPr>
              <w:t xml:space="preserve">Net Estimated End-of-Life Emissions</w:t>
            </w:r>
          </w:p>
        </w:tc>
        <w:tc>
          <w:tcPr/>
          <w:p>
            <w:pPr>
              <w:pStyle w:val="Compact"/>
              <w:jc w:val="left"/>
            </w:pPr>
            <w:r>
              <w:t xml:space="preserve">-0.1</w:t>
            </w:r>
          </w:p>
        </w:tc>
      </w:tr>
    </w:tbl>
    <w:p>
      <w:r>
        <w:pict>
          <v:rect style="width:0;height:1.5pt" o:hralign="center" o:hrstd="t" o:hr="t"/>
        </w:pict>
      </w:r>
    </w:p>
    <w:bookmarkEnd w:id="32"/>
    <w:bookmarkEnd w:id="33"/>
    <w:bookmarkStart w:id="35" w:name="X8603624e9b09f6c777da8e237c1960596819cd1"/>
    <w:p>
      <w:pPr>
        <w:pStyle w:val="Heading2"/>
      </w:pPr>
      <w:r>
        <w:t xml:space="preserve">3. Summary of Product Carbon Footprint (tprvhfzwmt)</w:t>
      </w:r>
    </w:p>
    <w:p>
      <w:pPr>
        <w:pStyle w:val="FirstParagraph"/>
      </w:pPr>
      <w:r>
        <w:t xml:space="preserve">The total Product Carbon Footprint for one functional unit of tprvhfzwmt, calculated on a cradle-to-gate basis (with additional reporting for use and EoL to provide context),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11.40</w:t>
            </w:r>
          </w:p>
        </w:tc>
      </w:tr>
      <w:tr>
        <w:tc>
          <w:tcPr/>
          <w:p>
            <w:pPr>
              <w:pStyle w:val="Compact"/>
              <w:jc w:val="left"/>
            </w:pPr>
            <w:r>
              <w:t xml:space="preserve">Manufacturing (Scope 1)</w:t>
            </w:r>
          </w:p>
        </w:tc>
        <w:tc>
          <w:tcPr/>
          <w:p>
            <w:pPr>
              <w:pStyle w:val="Compact"/>
              <w:jc w:val="left"/>
            </w:pPr>
            <w:r>
              <w:t xml:space="preserve">Scope 1 (Direct)</w:t>
            </w:r>
          </w:p>
        </w:tc>
        <w:tc>
          <w:tcPr/>
          <w:p>
            <w:pPr>
              <w:pStyle w:val="Compact"/>
              <w:jc w:val="left"/>
            </w:pPr>
            <w:r>
              <w:t xml:space="preserve">0.0</w:t>
            </w:r>
          </w:p>
        </w:tc>
      </w:tr>
      <w:tr>
        <w:tc>
          <w:tcPr/>
          <w:p>
            <w:pPr>
              <w:pStyle w:val="Compact"/>
              <w:jc w:val="left"/>
            </w:pPr>
            <w:r>
              <w:t xml:space="preserve">Manufacturing (Scope 2)</w:t>
            </w:r>
          </w:p>
        </w:tc>
        <w:tc>
          <w:tcPr/>
          <w:p>
            <w:pPr>
              <w:pStyle w:val="Compact"/>
              <w:jc w:val="left"/>
            </w:pPr>
            <w:r>
              <w:t xml:space="preserve">Scope 2 (Purchased Electricity)</w:t>
            </w:r>
          </w:p>
        </w:tc>
        <w:tc>
          <w:tcPr/>
          <w:p>
            <w:pPr>
              <w:pStyle w:val="Compact"/>
              <w:jc w:val="left"/>
            </w:pPr>
            <w:r>
              <w:t xml:space="preserve">6.3</w:t>
            </w:r>
          </w:p>
        </w:tc>
      </w:tr>
      <w:tr>
        <w:tc>
          <w:tcPr/>
          <w:p>
            <w:pPr>
              <w:pStyle w:val="Compact"/>
              <w:jc w:val="left"/>
            </w:pPr>
            <w:r>
              <w:t xml:space="preserve">Upstream Transport (to factory)</w:t>
            </w:r>
          </w:p>
        </w:tc>
        <w:tc>
          <w:tcPr/>
          <w:p>
            <w:pPr>
              <w:pStyle w:val="Compact"/>
              <w:jc w:val="left"/>
            </w:pPr>
            <w:r>
              <w:t xml:space="preserve">Scope 3 (Upstream)</w:t>
            </w:r>
          </w:p>
        </w:tc>
        <w:tc>
          <w:tcPr/>
          <w:p>
            <w:pPr>
              <w:pStyle w:val="Compact"/>
              <w:jc w:val="left"/>
            </w:pPr>
            <w:r>
              <w:t xml:space="preserve">0.5</w:t>
            </w:r>
          </w:p>
        </w:tc>
      </w:tr>
      <w:tr>
        <w:tc>
          <w:tcPr/>
          <w:p>
            <w:pPr>
              <w:pStyle w:val="Compact"/>
              <w:jc w:val="left"/>
            </w:pPr>
            <w:r>
              <w:t xml:space="preserve">Last-Mile Delivery (to customer)</w:t>
            </w:r>
          </w:p>
        </w:tc>
        <w:tc>
          <w:tcPr/>
          <w:p>
            <w:pPr>
              <w:pStyle w:val="Compact"/>
              <w:jc w:val="left"/>
            </w:pPr>
            <w:r>
              <w:t xml:space="preserve">Scope 3 (Downstream)</w:t>
            </w:r>
          </w:p>
        </w:tc>
        <w:tc>
          <w:tcPr/>
          <w:p>
            <w:pPr>
              <w:pStyle w:val="Compact"/>
              <w:jc w:val="left"/>
            </w:pPr>
            <w:r>
              <w:t xml:space="preserve">12.5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42.0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w:t>
            </w:r>
          </w:p>
        </w:tc>
      </w:tr>
      <w:tr>
        <w:tc>
          <w:tcPr>
            <w:gridSpan w:val="2"/>
          </w:tcPr>
          <w:p>
            <w:pPr>
              <w:pStyle w:val="Compact"/>
              <w:jc w:val="left"/>
            </w:pPr>
            <w:r>
              <w:t xml:space="preserve">TOTAL PRODUCT CARBON FOOTPRINT (kg CO2e/unit)</w:t>
            </w:r>
          </w:p>
        </w:tc>
        <w:tc>
          <w:tcPr/>
          <w:p>
            <w:pPr>
              <w:pStyle w:val="Compact"/>
              <w:jc w:val="left"/>
            </w:pPr>
            <w:r>
              <w:t xml:space="preserve">72.6</w:t>
            </w:r>
          </w:p>
        </w:tc>
      </w:tr>
    </w:tbl>
    <w:bookmarkStart w:id="34" w:name="emissions-hotspots-and-reliability"/>
    <w:p>
      <w:pPr>
        <w:pStyle w:val="Heading3"/>
      </w:pPr>
      <w:r>
        <w:t xml:space="preserve">3.1. Emissions Hotspots and Reliability</w:t>
      </w:r>
    </w:p>
    <w:p>
      <w:pPr>
        <w:numPr>
          <w:ilvl w:val="0"/>
          <w:numId w:val="1012"/>
        </w:numPr>
        <w:pStyle w:val="Compact"/>
      </w:pPr>
      <w:r>
        <w:rPr>
          <w:bCs/>
          <w:b/>
        </w:rPr>
        <w:t xml:space="preserve">Hotspots:</w:t>
      </w:r>
      <w:r>
        <w:t xml:space="preserve"> </w:t>
      </w:r>
      <w:r>
        <w:t xml:space="preserve">The primary hotspots for the tprvhfzwmt product are identified in the</w:t>
      </w:r>
      <w:r>
        <w:t xml:space="preserve"> </w:t>
      </w:r>
      <w:r>
        <w:rPr>
          <w:bCs/>
          <w:b/>
        </w:rPr>
        <w:t xml:space="preserve">Use Phase</w:t>
      </w:r>
      <w:r>
        <w:t xml:space="preserve"> </w:t>
      </w:r>
      <w:r>
        <w:t xml:space="preserve">(42.0 kg CO2e), largely driven by energy consumption over its lifespan.</w:t>
      </w:r>
      <w:r>
        <w:t xml:space="preserve"> </w:t>
      </w:r>
      <w:r>
        <w:rPr>
          <w:bCs/>
          <w:b/>
        </w:rPr>
        <w:t xml:space="preserve">Last-Mile Delivery</w:t>
      </w:r>
      <w:r>
        <w:t xml:space="preserve"> </w:t>
      </w:r>
      <w:r>
        <w:t xml:space="preserve">(12.5 kg CO2e) and</w:t>
      </w:r>
      <w:r>
        <w:t xml:space="preserve"> </w:t>
      </w:r>
      <w:r>
        <w:rPr>
          <w:bCs/>
          <w:b/>
        </w:rPr>
        <w:t xml:space="preserve">Material Acquisition &amp; Pre-processing</w:t>
      </w:r>
      <w:r>
        <w:t xml:space="preserve"> </w:t>
      </w:r>
      <w:r>
        <w:t xml:space="preserve">(11.40 kg CO2e) also represent significant contributions.</w:t>
      </w:r>
    </w:p>
    <w:p>
      <w:pPr>
        <w:numPr>
          <w:ilvl w:val="0"/>
          <w:numId w:val="1012"/>
        </w:numPr>
        <w:pStyle w:val="Compact"/>
      </w:pPr>
      <w:r>
        <w:rPr>
          <w:bCs/>
          <w:b/>
        </w:rPr>
        <w:t xml:space="preserve">Reliability:</w:t>
      </w:r>
      <w:r>
        <w:t xml:space="preserve"> </w:t>
      </w:r>
      <w:r>
        <w:t xml:space="preserve">The reliability of this PCF is high for material inputs due to the use of detailed BOM data (fermrtyn). Other stages rely on a combination of primary data (energy intensity, renewable usage, transport distance) and secondary industry-average emission factors. Assumptions for specific transport payload factors, last-mile distance, and use-phase electricity mix introduce some inherent uncertainty, which would benefit from more granular operational data from rzxrdxfery.</w:t>
      </w:r>
    </w:p>
    <w:p>
      <w:r>
        <w:pict>
          <v:rect style="width:0;height:1.5pt" o:hralign="center" o:hrstd="t" o:hr="t"/>
        </w:pict>
      </w:r>
    </w:p>
    <w:bookmarkEnd w:id="34"/>
    <w:bookmarkEnd w:id="35"/>
    <w:bookmarkStart w:id="36" w:name="recommendations"/>
    <w:p>
      <w:pPr>
        <w:pStyle w:val="Heading2"/>
      </w:pPr>
      <w:r>
        <w:t xml:space="preserve">4. Recommendations</w:t>
      </w:r>
    </w:p>
    <w:p>
      <w:pPr>
        <w:pStyle w:val="FirstParagraph"/>
      </w:pPr>
      <w:r>
        <w:t xml:space="preserve">To strategically reduce the carbon footprint of tprvhfzwmt, rzxrdxfery should consider the following initiatives:</w:t>
      </w:r>
    </w:p>
    <w:p>
      <w:pPr>
        <w:numPr>
          <w:ilvl w:val="0"/>
          <w:numId w:val="1013"/>
        </w:numPr>
        <w:pStyle w:val="Compact"/>
      </w:pPr>
      <w:r>
        <w:rPr>
          <w:bCs/>
          <w:b/>
        </w:rPr>
        <w:t xml:space="preserve">Material Optimization:</w:t>
      </w:r>
      <w:r>
        <w:t xml:space="preserve"> </w:t>
      </w:r>
      <w:r>
        <w:t xml:space="preserve">Conduct further research into lower-carbon alternative materials or explore increasing the recycled content beyond current levels within the Bill of Materials. Collaborate closely with suppliers to identify and reduce their upstream emissions.</w:t>
      </w:r>
    </w:p>
    <w:p>
      <w:pPr>
        <w:numPr>
          <w:ilvl w:val="0"/>
          <w:numId w:val="1013"/>
        </w:numPr>
        <w:pStyle w:val="Compact"/>
      </w:pPr>
      <w:r>
        <w:rPr>
          <w:bCs/>
          <w:b/>
        </w:rPr>
        <w:t xml:space="preserve">Manufacturing Efficiency:</w:t>
      </w:r>
      <w:r>
        <w:t xml:space="preserve"> </w:t>
      </w:r>
      <w:r>
        <w:t xml:space="preserve">Accelerate the transition to 100% renewable energy sourcing at the China production facility, surpassing the current kktyvwpmit% (30%). Implement advanced manufacturing techniques to further reduce energy intensity (himfptwsgv kWh/unit).</w:t>
      </w:r>
    </w:p>
    <w:p>
      <w:pPr>
        <w:numPr>
          <w:ilvl w:val="0"/>
          <w:numId w:val="1013"/>
        </w:numPr>
        <w:pStyle w:val="Compact"/>
      </w:pPr>
      <w:r>
        <w:rPr>
          <w:bCs/>
          <w:b/>
        </w:rPr>
        <w:t xml:space="preserve">Logistics Optimization:</w:t>
      </w:r>
      <w:r>
        <w:t xml:space="preserve"> </w:t>
      </w:r>
      <w:r>
        <w:t xml:space="preserve">Investigate the feasibility of shifting primary long-distance transport from road freight to lower-emission modes such as rail or sea freight. Optimize last-mile delivery routes and consider transitioning to electric vehicles for the "Delivery Type" channel where infrastructure allows.</w:t>
      </w:r>
    </w:p>
    <w:p>
      <w:pPr>
        <w:numPr>
          <w:ilvl w:val="0"/>
          <w:numId w:val="1013"/>
        </w:numPr>
        <w:pStyle w:val="Compact"/>
      </w:pPr>
      <w:r>
        <w:rPr>
          <w:bCs/>
          <w:b/>
        </w:rPr>
        <w:t xml:space="preserve">Use Phase Improvement:</w:t>
      </w:r>
      <w:r>
        <w:t xml:space="preserve"> </w:t>
      </w:r>
      <w:r>
        <w:t xml:space="preserve">Prioritize design for even greater energy efficiency, aiming to reduce the fogvpsytvd kWh/unit consumption over the product\'s lifespan. Educate consumers on best practices for energy-efficient product use.</w:t>
      </w:r>
    </w:p>
    <w:p>
      <w:pPr>
        <w:numPr>
          <w:ilvl w:val="0"/>
          <w:numId w:val="1013"/>
        </w:numPr>
        <w:pStyle w:val="Compact"/>
      </w:pPr>
      <w:r>
        <w:rPr>
          <w:bCs/>
          <w:b/>
        </w:rPr>
        <w:t xml:space="preserve">Circular Economy Initiatives:</w:t>
      </w:r>
      <w:r>
        <w:t xml:space="preserve"> </w:t>
      </w:r>
      <w:r>
        <w:t xml:space="preserve">Strengthen and expand existing circular/take-back programs (wwxdkusquh) to achieve higher resource recovery rates and further increase the recyclability percentage (otymtvnxgn%).</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tprvhfzwmt</dc:title>
  <dc:creator/>
  <dc:description>Detailed Product Carbon Footprint (PCF) analysis report for tprvhfzwmt, adhering to GHG Protocol standards and 2026 LSR updates, prepared by doonylzjqx for rzxrdxfery.</dc:description>
  <cp:keywords/>
  <dcterms:created xsi:type="dcterms:W3CDTF">2026-07-15T14:38:06Z</dcterms:created>
  <dcterms:modified xsi:type="dcterms:W3CDTF">2026-07-15T14:38:06Z</dcterms:modified>
</cp:coreProperties>
</file>

<file path=docProps/custom.xml><?xml version="1.0" encoding="utf-8"?>
<Properties xmlns="http://schemas.openxmlformats.org/officeDocument/2006/custom-properties" xmlns:vt="http://schemas.openxmlformats.org/officeDocument/2006/docPropsVTypes"/>
</file>