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tophvhzlvn</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tophvhzlvn</w:t>
      </w:r>
    </w:p>
    <w:p>
      <w:pPr>
        <w:pStyle w:val="BodyText"/>
      </w:pPr>
      <w:r>
        <w:rPr>
          <w:bCs/>
          <w:b/>
        </w:rPr>
        <w:t xml:space="preserve">Company Name:</w:t>
      </w:r>
      <w:r>
        <w:t xml:space="preserve"> </w:t>
      </w:r>
      <w:r>
        <w:t xml:space="preserve">sgpqewxhgn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zhkiuswmgr</w:t>
      </w:r>
    </w:p>
    <w:p>
      <w:pPr>
        <w:pStyle w:val="BodyText"/>
      </w:pPr>
      <w:r>
        <w:rPr>
          <w:iCs/>
          <w:i/>
        </w:rPr>
        <w:t xml:space="preserve">This report is generated based on available data and industry standards.</w:t>
      </w:r>
      <w:r>
        <w:rPr>
          <w:iCs/>
          <w:i/>
        </w:rPr>
        <w:t xml:space="preserve"> </w:t>
      </w:r>
      <w:r>
        <w:rPr>
          <w:iCs/>
          <w:i/>
        </w:rPr>
        <w:t xml:space="preserve">While every effort has been made to ensure accuracy, the actual carbon</w:t>
      </w:r>
      <w:r>
        <w:rPr>
          <w:iCs/>
          <w:i/>
        </w:rPr>
        <w:t xml:space="preserve"> </w:t>
      </w:r>
      <w:r>
        <w:rPr>
          <w:iCs/>
          <w:i/>
        </w:rPr>
        <w:t xml:space="preserve">footprint may vary depending on data availability, specific operational</w:t>
      </w:r>
      <w:r>
        <w:rPr>
          <w:iCs/>
          <w:i/>
        </w:rPr>
        <w:t xml:space="preserve"> </w:t>
      </w:r>
      <w:r>
        <w:rPr>
          <w:iCs/>
          <w:i/>
        </w:rPr>
        <w:t xml:space="preserve">details, and dynamic environmental factors.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tophvhzlvn</w:t>
      </w:r>
    </w:p>
    <w:p>
      <w:pPr>
        <w:pStyle w:val="BodyText"/>
      </w:pPr>
      <w:r>
        <w:rPr>
          <w:bCs/>
          <w:b/>
        </w:rPr>
        <w:t xml:space="preserve">Company:</w:t>
      </w:r>
      <w:r>
        <w:t xml:space="preserve"> </w:t>
      </w:r>
      <w:r>
        <w:t xml:space="preserve">sgpqewxhgn</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tophvhzlvn, manufactured by sgpqewxhgn. The analysis was conducted by zhkiuswmgr, Senior Sustainability Consultant, in accordance with the Greenhouse Gas (GHG) Protocol standards, including the 2026 Land Sector and Removals (LSR) update. The objective is to quantify the lifecycle greenhouse gas emissions (in CO2e) associated with the product, identify key emission hotspots, and provide a foundation for targeted sustainability improvements. This assessment incorporates specific data for materials, production energy, transportation, use-phase energy, and end-of-life scenarios.</w:t>
      </w:r>
    </w:p>
    <w:p>
      <w:r>
        <w:pict>
          <v:rect style="width:0;height:1.5pt" o:hralign="center" o:hrstd="t" o:hr="t"/>
        </w:pict>
      </w:r>
    </w:p>
    <w:bookmarkEnd w:id="22"/>
    <w:bookmarkStart w:id="23" w:name="introduction"/>
    <w:p>
      <w:pPr>
        <w:pStyle w:val="Heading2"/>
      </w:pPr>
      <w:r>
        <w:t xml:space="preserve">Introduction</w:t>
      </w:r>
    </w:p>
    <w:p>
      <w:pPr>
        <w:pStyle w:val="FirstParagraph"/>
      </w:pPr>
      <w:r>
        <w:t xml:space="preserve">The increasing global focus on climate change necessitates a comprehensive understanding of environmental impacts associated with products throughout their lifecycle. A Product Carbon Footprint (PCF) analysis, performed under the rigorous framework of the GHG Protocol, provides a standardized methodology for quantifying these impacts. This report specifically details the PCF for tophvhzlvn, a product of sgpqewxhgn, guided by the expertise of Senior Sustainability Consultant zhkiuswmgr.</w:t>
      </w:r>
    </w:p>
    <w:p>
      <w:pPr>
        <w:pStyle w:val="BodyText"/>
      </w:pPr>
      <w:r>
        <w:t xml:space="preserve">**Accounting Standard:** This analysis strictly adheres to the</w:t>
      </w:r>
      <w:r>
        <w:t xml:space="preserve"> </w:t>
      </w:r>
      <w:r>
        <w:rPr>
          <w:bCs/>
          <w:b/>
        </w:rPr>
        <w:t xml:space="preserve">GHG Protocol</w:t>
      </w:r>
      <w:r>
        <w:t xml:space="preserve"> </w:t>
      </w:r>
      <w:r>
        <w:t xml:space="preserve">Product Standard, ensuring transparency, consistency, and comparability of emission calculations.</w:t>
      </w:r>
    </w:p>
    <w:p>
      <w:pPr>
        <w:pStyle w:val="BodyText"/>
      </w:pPr>
      <w:r>
        <w:t xml:space="preserve">**Senior Sustainability Consultant:** This report was prepared by</w:t>
      </w:r>
      <w:r>
        <w:t xml:space="preserve"> </w:t>
      </w:r>
      <w:r>
        <w:rPr>
          <w:bCs/>
          <w:b/>
        </w:rPr>
        <w:t xml:space="preserve">zhkiuswmgr</w:t>
      </w:r>
      <w:r>
        <w:t xml:space="preserve">, a Senior Sustainability Consultant specializing in GHG Protocol.</w:t>
      </w:r>
    </w:p>
    <w:p>
      <w:pPr>
        <w:pStyle w:val="BodyText"/>
      </w:pPr>
      <w:r>
        <w:t xml:space="preserve">**Company Name:** The analysis focuses on the product from</w:t>
      </w:r>
      <w:r>
        <w:t xml:space="preserve"> </w:t>
      </w:r>
      <w:r>
        <w:rPr>
          <w:bCs/>
          <w:b/>
        </w:rPr>
        <w:t xml:space="preserve">sgpqewxhgn</w:t>
      </w:r>
      <w:r>
        <w:t xml:space="preserv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Defining the scope is the foundational step in any PCF analysis, setting the boundaries and parameters for the assessment.</w:t>
      </w:r>
    </w:p>
    <w:p>
      <w:pPr>
        <w:numPr>
          <w:ilvl w:val="0"/>
          <w:numId w:val="1001"/>
        </w:numPr>
        <w:pStyle w:val="Compact"/>
      </w:pPr>
      <w:r>
        <w:rPr>
          <w:bCs/>
          <w:b/>
        </w:rPr>
        <w:t xml:space="preserve">Functional Unit:</w:t>
      </w:r>
      <w:r>
        <w:t xml:space="preserve"> </w:t>
      </w:r>
      <w:r>
        <w:t xml:space="preserve">1.0 unit of tophvhzlvn. The functional unit serves as a reference basis for quantifying inputs and outputs and for comparing different products or systems.</w:t>
      </w:r>
    </w:p>
    <w:p>
      <w:pPr>
        <w:numPr>
          <w:ilvl w:val="0"/>
          <w:numId w:val="1001"/>
        </w:numPr>
        <w:pStyle w:val="Compact"/>
      </w:pPr>
      <w:r>
        <w:rPr>
          <w:bCs/>
          <w:b/>
        </w:rPr>
        <w:t xml:space="preserve">System Boundary:</w:t>
      </w:r>
      <w:r>
        <w:t xml:space="preserve"> </w:t>
      </w:r>
      <w:r>
        <w:t xml:space="preserve">factory_gate. This "cradle-to-gate" boundary includes all emissions from raw material extraction, manufacturing of components, transport to the final production factory, and the final assembly processes, up to the point the product leaves the factory gate. For this high-detail analysis, we extend this to a "cradle-to-grave" approach, encompassing transport to customer, use-phase, and end-of-life, as per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1"/>
          <w:numId w:val="1002"/>
        </w:numPr>
        <w:pStyle w:val="Compact"/>
      </w:pPr>
      <w:r>
        <w:t xml:space="preserve">This implies that manufacturing processes occur in China, while a significant portion of upstream material sourcing and/or key components originate from Europe.</w:t>
      </w:r>
    </w:p>
    <w:p>
      <w:pPr>
        <w:numPr>
          <w:ilvl w:val="0"/>
          <w:numId w:val="1001"/>
        </w:numPr>
        <w:pStyle w:val="Compact"/>
      </w:pPr>
      <w:r>
        <w:rPr>
          <w:bCs/>
          <w:b/>
        </w:rPr>
        <w:t xml:space="preserve">Allocation:</w:t>
      </w:r>
      <w:r>
        <w:t xml:space="preserve"> </w:t>
      </w:r>
      <w:r>
        <w:t xml:space="preserve">Emissions are allocated to the functional unit (1.0 unit of tophvhzlvn) based on mass and economic allocation principles where co-products or by-products are present. For this report, direct allocation to the product is assumed unless specific co-product scenarios are detailed.</w:t>
      </w:r>
    </w:p>
    <w:p>
      <w:pPr>
        <w:numPr>
          <w:ilvl w:val="0"/>
          <w:numId w:val="1001"/>
        </w:numPr>
        <w:pStyle w:val="Compact"/>
      </w:pPr>
      <w:r>
        <w:rPr>
          <w:bCs/>
          <w:b/>
        </w:rPr>
        <w:t xml:space="preserve">Accounting Standard:</w:t>
      </w:r>
      <w:r>
        <w:t xml:space="preserve"> </w:t>
      </w:r>
      <w:r>
        <w:t xml:space="preserve">All calculations and reporting are performed in strict compliance with the GHG Protocol Product Standard.</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lifecycle stages considered and the primary and secondary data points collected for the PCF analysis. Emissions are categorized into Scope 1 (direct emissions), Scope 2 (purchased energy), and Scope 3 (all other indirect emissions across the value chain) as per GHG Protocol requirements. The 2026 LSR Update principles are applied for land sector and carbon removals consideration. A minimum of 95% coverage for Scope 3 emissions is ensured.</w:t>
      </w:r>
    </w:p>
    <w:bookmarkStart w:id="25" w:name="X4bf796c390690db8b1268d977edae6594541a58"/>
    <w:p>
      <w:pPr>
        <w:pStyle w:val="Heading3"/>
      </w:pPr>
      <w:r>
        <w:t xml:space="preserve">Detailed Bill of Materials (BOM) for ksjvuqdu</w:t>
      </w:r>
    </w:p>
    <w:p>
      <w:pPr>
        <w:pStyle w:val="FirstParagraph"/>
      </w:pPr>
      <w:r>
        <w:t xml:space="preserve">The following table presents the Detailed Bill of Materials (BOM) provided, including pre-calculated total carbon emissions for each item, which are directly incorporated into the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The "Total Carbon (kg CO2e)" for each BOM item is taken directly from the provided data `ksjvuqdu`. This represents the embedded emissions from raw material extraction, processing, and manufacturing of the component.</w:t>
      </w:r>
    </w:p>
    <w:bookmarkEnd w:id="25"/>
    <w:bookmarkStart w:id="26" w:name="energy-inputs-for-production-phase"/>
    <w:p>
      <w:pPr>
        <w:pStyle w:val="Heading3"/>
      </w:pPr>
      <w:r>
        <w:t xml:space="preserve">Energy Inputs for Production Phase</w:t>
      </w:r>
    </w:p>
    <w:p>
      <w:pPr>
        <w:numPr>
          <w:ilvl w:val="0"/>
          <w:numId w:val="1003"/>
        </w:numPr>
        <w:pStyle w:val="Compact"/>
      </w:pPr>
      <w:r>
        <w:rPr>
          <w:bCs/>
          <w:b/>
        </w:rPr>
        <w:t xml:space="preserve">Energy Intensity (kWh/unit):</w:t>
      </w:r>
      <w:r>
        <w:t xml:space="preserve"> </w:t>
      </w:r>
      <w:r>
        <w:t xml:space="preserve">voxzwkpqdo kWh/unit.</w:t>
      </w:r>
      <w:r>
        <w:br/>
      </w:r>
      <w:r>
        <w:rPr>
          <w:iCs/>
          <w:i/>
        </w:rPr>
        <w:t xml:space="preserve">(Illustrative Value for Calculation: We will assume an energy intensity of 10 kWh/unit for demonstration.)</w:t>
      </w:r>
    </w:p>
    <w:p>
      <w:pPr>
        <w:numPr>
          <w:ilvl w:val="0"/>
          <w:numId w:val="1003"/>
        </w:numPr>
        <w:pStyle w:val="Compact"/>
      </w:pPr>
      <w:r>
        <w:rPr>
          <w:bCs/>
          <w:b/>
        </w:rPr>
        <w:t xml:space="preserve">Renewable Energy Usage:</w:t>
      </w:r>
      <w:r>
        <w:t xml:space="preserve"> </w:t>
      </w:r>
      <w:r>
        <w:t xml:space="preserve">wpvrvoenmk.</w:t>
      </w:r>
      <w:r>
        <w:br/>
      </w:r>
      <w:r>
        <w:rPr>
          <w:iCs/>
          <w:i/>
        </w:rPr>
        <w:t xml:space="preserve">(Illustrative Value for Calculation: We will assume 50% renewable energy usage for demonstration.)</w:t>
      </w:r>
    </w:p>
    <w:p>
      <w:pPr>
        <w:numPr>
          <w:ilvl w:val="0"/>
          <w:numId w:val="1003"/>
        </w:numPr>
        <w:pStyle w:val="Compact"/>
      </w:pPr>
      <w:r>
        <w:rPr>
          <w:bCs/>
          <w:b/>
        </w:rPr>
        <w:t xml:space="preserve">Geographic Context (China):</w:t>
      </w:r>
      <w:r>
        <w:t xml:space="preserve"> </w:t>
      </w:r>
      <w:r>
        <w:t xml:space="preserve">The remaining grid electricity is sourced from China\'s national grid.</w:t>
      </w:r>
      <w:r>
        <w:br/>
      </w:r>
      <w:r>
        <w:rPr>
          <w:iCs/>
          <w:i/>
        </w:rPr>
        <w:t xml:space="preserve">(Illustrative Emission Factor for China Grid Electricity: ~0.7 kg CO2e/kWh)</w:t>
      </w:r>
    </w:p>
    <w:bookmarkEnd w:id="26"/>
    <w:bookmarkStart w:id="27" w:name="logistics-data-for-supply-chain-analysis"/>
    <w:p>
      <w:pPr>
        <w:pStyle w:val="Heading3"/>
      </w:pPr>
      <w:r>
        <w:t xml:space="preserve">Logistics Data for Supply Chain Analysis</w:t>
      </w:r>
    </w:p>
    <w:p>
      <w:pPr>
        <w:numPr>
          <w:ilvl w:val="0"/>
          <w:numId w:val="1004"/>
        </w:numPr>
        <w:pStyle w:val="Compact"/>
      </w:pPr>
      <w:r>
        <w:rPr>
          <w:bCs/>
          <w:b/>
        </w:rPr>
        <w:t xml:space="preserve">Transport Mode (Main):</w:t>
      </w:r>
      <w:r>
        <w:t xml:space="preserve"> </w:t>
      </w:r>
      <w:r>
        <w:t xml:space="preserve">Select Mode.</w:t>
      </w:r>
      <w:r>
        <w:br/>
      </w:r>
      <w:r>
        <w:rPr>
          <w:iCs/>
          <w:i/>
        </w:rPr>
        <w:t xml:space="preserve">(Illustrative Value for Calculation: We will assume "Road Freight (HGV)" for demonstration.)</w:t>
      </w:r>
      <w:r>
        <w:br/>
      </w:r>
      <w:r>
        <w:rPr>
          <w:iCs/>
          <w:i/>
        </w:rPr>
        <w:t xml:space="preserve">(Illustrative Emission Factor for Road Freight HGV: ~0.1 kg CO2e/tkm)</w:t>
      </w:r>
    </w:p>
    <w:p>
      <w:pPr>
        <w:numPr>
          <w:ilvl w:val="0"/>
          <w:numId w:val="1004"/>
        </w:numPr>
        <w:pStyle w:val="Compact"/>
      </w:pPr>
      <w:r>
        <w:rPr>
          <w:bCs/>
          <w:b/>
        </w:rPr>
        <w:t xml:space="preserve">Transport Distance (Main):</w:t>
      </w:r>
      <w:r>
        <w:t xml:space="preserve"> </w:t>
      </w:r>
      <w:r>
        <w:t xml:space="preserve">ieqymgpkph.</w:t>
      </w:r>
      <w:r>
        <w:br/>
      </w:r>
      <w:r>
        <w:rPr>
          <w:iCs/>
          <w:i/>
        </w:rPr>
        <w:t xml:space="preserve">(Illustrative Value for Calculation: We will assume 1,500 km for raw material/component transport to the China factory for demonstration.)</w:t>
      </w:r>
    </w:p>
    <w:p>
      <w:pPr>
        <w:numPr>
          <w:ilvl w:val="0"/>
          <w:numId w:val="1004"/>
        </w:numPr>
        <w:pStyle w:val="Compact"/>
      </w:pPr>
      <w:r>
        <w:rPr>
          <w:bCs/>
          <w:b/>
        </w:rPr>
        <w:t xml:space="preserve">Last-Mile Delivery Channel:</w:t>
      </w:r>
      <w:r>
        <w:t xml:space="preserve"> </w:t>
      </w:r>
      <w:r>
        <w:t xml:space="preserve">Delivery Type.</w:t>
      </w:r>
      <w:r>
        <w:br/>
      </w:r>
      <w:r>
        <w:rPr>
          <w:iCs/>
          <w:i/>
        </w:rPr>
        <w:t xml:space="preserve">(Illustrative Value for Calculation: We will assume "Light Commercial Vehicle" for demonstration.)</w:t>
      </w:r>
      <w:r>
        <w:br/>
      </w:r>
      <w:r>
        <w:rPr>
          <w:iCs/>
          <w:i/>
        </w:rPr>
        <w:t xml:space="preserve">(Illustrative Emission Factor for Light Commercial Vehicle: ~0.2 kg CO2e/km)</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omtzgeyvfy.</w:t>
      </w:r>
      <w:r>
        <w:br/>
      </w:r>
      <w:r>
        <w:rPr>
          <w:iCs/>
          <w:i/>
        </w:rPr>
        <w:t xml:space="preserve">(Illustrative Value for Calculation: We will assume a 5-year product lifespan for demonstration.)</w:t>
      </w:r>
    </w:p>
    <w:p>
      <w:pPr>
        <w:numPr>
          <w:ilvl w:val="0"/>
          <w:numId w:val="1005"/>
        </w:numPr>
        <w:pStyle w:val="Compact"/>
      </w:pPr>
      <w:r>
        <w:rPr>
          <w:bCs/>
          <w:b/>
        </w:rPr>
        <w:t xml:space="preserve">Energy Consumption in Use:</w:t>
      </w:r>
      <w:r>
        <w:t xml:space="preserve"> </w:t>
      </w:r>
      <w:r>
        <w:t xml:space="preserve">pxtmsiqupl.</w:t>
      </w:r>
      <w:r>
        <w:br/>
      </w:r>
      <w:r>
        <w:rPr>
          <w:iCs/>
          <w:i/>
        </w:rPr>
        <w:t xml:space="preserve">(Illustrative Value for Calculation: We will assume 5 kWh/year for demonstration.)</w:t>
      </w:r>
    </w:p>
    <w:p>
      <w:pPr>
        <w:numPr>
          <w:ilvl w:val="0"/>
          <w:numId w:val="1005"/>
        </w:numPr>
        <w:pStyle w:val="Compact"/>
      </w:pPr>
      <w:r>
        <w:rPr>
          <w:bCs/>
          <w:b/>
        </w:rPr>
        <w:t xml:space="preserve">Geographic Context (Use Phase):</w:t>
      </w:r>
      <w:r>
        <w:t xml:space="preserve"> </w:t>
      </w:r>
      <w:r>
        <w:t xml:space="preserve">Assuming a typical end-user market (e.g., Europe/OECD).</w:t>
      </w:r>
      <w:r>
        <w:br/>
      </w:r>
      <w:r>
        <w:rPr>
          <w:iCs/>
          <w:i/>
        </w:rPr>
        <w:t xml:space="preserve">(Illustrative Emission Factor for Grid Electricity (Use Phase): ~0.4 kg CO2e/kWh)</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puofejfeyi.</w:t>
      </w:r>
      <w:r>
        <w:br/>
      </w:r>
      <w:r>
        <w:rPr>
          <w:iCs/>
          <w:i/>
        </w:rPr>
        <w:t xml:space="preserve">(Illustrative Value for Calculation: We will assume 70% recyclability for demonstration.)</w:t>
      </w:r>
    </w:p>
    <w:p>
      <w:pPr>
        <w:numPr>
          <w:ilvl w:val="0"/>
          <w:numId w:val="1006"/>
        </w:numPr>
        <w:pStyle w:val="Compact"/>
      </w:pPr>
      <w:r>
        <w:rPr>
          <w:bCs/>
          <w:b/>
        </w:rPr>
        <w:t xml:space="preserve">Circular/Take-back Programs:</w:t>
      </w:r>
      <w:r>
        <w:t xml:space="preserve"> </w:t>
      </w:r>
      <w:r>
        <w:t xml:space="preserve">oqufgjdjgy.</w:t>
      </w:r>
      <w:r>
        <w:br/>
      </w:r>
      <w:r>
        <w:rPr>
          <w:iCs/>
          <w:i/>
        </w:rPr>
        <w:t xml:space="preserve">(Qualitative Impact: The presence of circular programs would typically reduce virgin material demand and landfilling, leading to avoided emissions, depending on the efficiency and scale of the program.)</w:t>
      </w:r>
    </w:p>
    <w:p>
      <w:pPr>
        <w:numPr>
          <w:ilvl w:val="0"/>
          <w:numId w:val="1006"/>
        </w:numPr>
        <w:pStyle w:val="Compact"/>
      </w:pPr>
      <w:r>
        <w:rPr>
          <w:bCs/>
          <w:b/>
        </w:rPr>
        <w:t xml:space="preserve">Landfill &amp; Incineration:</w:t>
      </w:r>
      <w:r>
        <w:t xml:space="preserve"> </w:t>
      </w:r>
      <w:r>
        <w:t xml:space="preserve">Remaining non-recycled waste.</w:t>
      </w:r>
      <w:r>
        <w:br/>
      </w:r>
      <w:r>
        <w:rPr>
          <w:iCs/>
          <w:i/>
        </w:rPr>
        <w:t xml:space="preserve">(Illustrative Emission Factor for Landfill/Incineration: Variable, often considered for specific material types. For simplicity, we assume generic EoL treatment based on recyclability.)</w:t>
      </w:r>
    </w:p>
    <w:p>
      <w:pPr>
        <w:pStyle w:val="FirstParagraph"/>
      </w:pPr>
      <w:r>
        <w:rPr>
          <w:iCs/>
          <w:i/>
        </w:rPr>
        <w:t xml:space="preserve">Note: All parameters presented as `[Placeholder String]` (e.g., `Select Mode`, `ieqymgpkph`) are placeholders for specific data. For the purpose of demonstrating the calculation methodology, illustrative numerical values and generic emission factors are used and explicitly stated. A precise PCF would require accurate, specific data for these parameters.</w:t>
      </w:r>
    </w:p>
    <w:p>
      <w:r>
        <w:pict>
          <v:rect style="width:0;height:1.5pt" o:hralign="center" o:hrstd="t" o:hr="t"/>
        </w:pict>
      </w:r>
    </w:p>
    <w:bookmarkEnd w:id="29"/>
    <w:bookmarkEnd w:id="30"/>
    <w:bookmarkStart w:id="36" w:name="calculate-emissions-co2e"/>
    <w:p>
      <w:pPr>
        <w:pStyle w:val="Heading2"/>
      </w:pPr>
      <w:r>
        <w:t xml:space="preserve">4. Calculate Emissions (CO2e)</w:t>
      </w:r>
    </w:p>
    <w:p>
      <w:pPr>
        <w:pStyle w:val="FirstParagraph"/>
      </w:pPr>
      <w:r>
        <w:t xml:space="preserve">Emissions are calculated by multiplying activity data (e.g., kWh of electricity, kg of material, tkm of transport) by relevant emission factors. The results are categorized according to the GHG Protocol Scopes.</w:t>
      </w:r>
    </w:p>
    <w:bookmarkStart w:id="34" w:name="illustrative-calculation-breakdown"/>
    <w:p>
      <w:pPr>
        <w:pStyle w:val="Heading3"/>
      </w:pPr>
      <w:r>
        <w:t xml:space="preserve">Illustrative Calculation Breakdown:</w:t>
      </w:r>
    </w:p>
    <w:bookmarkStart w:id="31" w:name="X3b3d7b10af023cd911c4d6585bdacbe630630f6"/>
    <w:p>
      <w:pPr>
        <w:pStyle w:val="Heading4"/>
      </w:pPr>
      <w:r>
        <w:t xml:space="preserve">Scope 3: Upstream Emissions (Cradle-to-Gate)</w:t>
      </w:r>
    </w:p>
    <w:p>
      <w:pPr>
        <w:numPr>
          <w:ilvl w:val="0"/>
          <w:numId w:val="1007"/>
        </w:numPr>
        <w:pStyle w:val="Compact"/>
      </w:pPr>
      <w:r>
        <w:rPr>
          <w:bCs/>
          <w:b/>
        </w:rPr>
        <w:t xml:space="preserve">Materials &amp; Manufacturing (from BOM `ksjvuqdu`):</w:t>
      </w:r>
    </w:p>
    <w:p>
      <w:pPr>
        <w:numPr>
          <w:ilvl w:val="1"/>
          <w:numId w:val="1008"/>
        </w:numPr>
        <w:pStyle w:val="Compact"/>
      </w:pPr>
      <w:r>
        <w:t xml:space="preserve">Total Carbon from BOM:</w:t>
      </w:r>
      <w:r>
        <w:t xml:space="preserve"> </w:t>
      </w:r>
      <w:r>
        <w:rPr>
          <w:bCs/>
          <w:b/>
        </w:rPr>
        <w:t xml:space="preserve">~3.09 kg CO2e</w:t>
      </w:r>
      <w:r>
        <w:t xml:space="preserve"> </w:t>
      </w:r>
      <w:r>
        <w:t xml:space="preserve">(Sum of "Total Carbon" from BOM table example).</w:t>
      </w:r>
    </w:p>
    <w:p>
      <w:pPr>
        <w:numPr>
          <w:ilvl w:val="1"/>
          <w:numId w:val="1008"/>
        </w:numPr>
        <w:pStyle w:val="Compact"/>
      </w:pPr>
      <w:r>
        <w:t xml:space="preserve">This includes emissions from raw material extraction, processing, and component manufacturing as provided in the BOM data.</w:t>
      </w:r>
    </w:p>
    <w:p>
      <w:pPr>
        <w:numPr>
          <w:ilvl w:val="0"/>
          <w:numId w:val="1007"/>
        </w:numPr>
        <w:pStyle w:val="Compact"/>
      </w:pPr>
      <w:r>
        <w:rPr>
          <w:bCs/>
          <w:b/>
        </w:rPr>
        <w:t xml:space="preserve">Transport (Upstream Logistics):</w:t>
      </w:r>
    </w:p>
    <w:p>
      <w:pPr>
        <w:numPr>
          <w:ilvl w:val="1"/>
          <w:numId w:val="1009"/>
        </w:numPr>
        <w:pStyle w:val="Compact"/>
      </w:pPr>
      <w:r>
        <w:t xml:space="preserve">Assumed Product Weight: 1 kg (for transport calculations, based on BOM Qty).</w:t>
      </w:r>
    </w:p>
    <w:p>
      <w:pPr>
        <w:numPr>
          <w:ilvl w:val="1"/>
          <w:numId w:val="1009"/>
        </w:numPr>
        <w:pStyle w:val="Compact"/>
      </w:pPr>
      <w:r>
        <w:t xml:space="preserve">Transport Mode: Road Freight (HGV)</w:t>
      </w:r>
    </w:p>
    <w:p>
      <w:pPr>
        <w:numPr>
          <w:ilvl w:val="1"/>
          <w:numId w:val="1009"/>
        </w:numPr>
        <w:pStyle w:val="Compact"/>
      </w:pPr>
      <w:r>
        <w:t xml:space="preserve">Transport Distance: 1,500 km</w:t>
      </w:r>
    </w:p>
    <w:p>
      <w:pPr>
        <w:numPr>
          <w:ilvl w:val="1"/>
          <w:numId w:val="1009"/>
        </w:numPr>
        <w:pStyle w:val="Compact"/>
      </w:pPr>
      <w:r>
        <w:t xml:space="preserve">Emission Factor: 0.1 kg CO2e/tkm</w:t>
      </w:r>
    </w:p>
    <w:p>
      <w:pPr>
        <w:numPr>
          <w:ilvl w:val="1"/>
          <w:numId w:val="1009"/>
        </w:numPr>
        <w:pStyle w:val="Compact"/>
      </w:pPr>
      <w:r>
        <w:t xml:space="preserve">Calculation: 1 kg * (1/1000 t/kg) * 1500 km * 0.1 kg CO2e/tkm =</w:t>
      </w:r>
      <w:r>
        <w:t xml:space="preserve"> </w:t>
      </w:r>
      <w:r>
        <w:rPr>
          <w:bCs/>
          <w:b/>
        </w:rPr>
        <w:t xml:space="preserve">0.15 kg CO2e</w:t>
      </w:r>
    </w:p>
    <w:p>
      <w:pPr>
        <w:pStyle w:val="FirstParagraph"/>
      </w:pPr>
      <w:r>
        <w:rPr>
          <w:bCs/>
          <w:b/>
        </w:rPr>
        <w:t xml:space="preserve">Total Illustrative Scope 3 Upstream Emissions: ~3.24 kg CO2e</w:t>
      </w:r>
    </w:p>
    <w:bookmarkEnd w:id="31"/>
    <w:bookmarkStart w:id="32" w:name="Xd2ddafa431676857404c19ddd14168be38757fb"/>
    <w:p>
      <w:pPr>
        <w:pStyle w:val="Heading4"/>
      </w:pPr>
      <w:r>
        <w:t xml:space="preserve">Scope 1 &amp; 2: Production Phase Emissions (Factory Gate)</w:t>
      </w:r>
    </w:p>
    <w:p>
      <w:pPr>
        <w:numPr>
          <w:ilvl w:val="0"/>
          <w:numId w:val="1010"/>
        </w:numPr>
        <w:pStyle w:val="Compact"/>
      </w:pPr>
      <w:r>
        <w:rPr>
          <w:bCs/>
          <w:b/>
        </w:rPr>
        <w:t xml:space="preserve">Direct Emissions (Scope 1):</w:t>
      </w:r>
      <w:r>
        <w:t xml:space="preserve"> </w:t>
      </w:r>
      <w:r>
        <w:t xml:space="preserve">Assumed negligible for a typical factory_gate boundary unless specific on-site fuel combustion data is provided. For this analysis, we assume no significant direct (Scope 1) emissions within the factory boundary for tophvhzlvn\'s production.</w:t>
      </w:r>
    </w:p>
    <w:p>
      <w:pPr>
        <w:numPr>
          <w:ilvl w:val="0"/>
          <w:numId w:val="1010"/>
        </w:numPr>
        <w:pStyle w:val="Compact"/>
      </w:pPr>
      <w:r>
        <w:rPr>
          <w:bCs/>
          <w:b/>
        </w:rPr>
        <w:t xml:space="preserve">Purchased Electricity (Scope 2):</w:t>
      </w:r>
    </w:p>
    <w:p>
      <w:pPr>
        <w:numPr>
          <w:ilvl w:val="1"/>
          <w:numId w:val="1011"/>
        </w:numPr>
        <w:pStyle w:val="Compact"/>
      </w:pPr>
      <w:r>
        <w:t xml:space="preserve">Energy Intensity: 10 kWh/unit (Illustrative `voxzwkpqdo`)</w:t>
      </w:r>
    </w:p>
    <w:p>
      <w:pPr>
        <w:numPr>
          <w:ilvl w:val="1"/>
          <w:numId w:val="1011"/>
        </w:numPr>
        <w:pStyle w:val="Compact"/>
      </w:pPr>
      <w:r>
        <w:t xml:space="preserve">Renewable Energy Usage: 50% (Illustrative `wpvrvoenmk`)</w:t>
      </w:r>
    </w:p>
    <w:p>
      <w:pPr>
        <w:numPr>
          <w:ilvl w:val="1"/>
          <w:numId w:val="1011"/>
        </w:numPr>
        <w:pStyle w:val="Compact"/>
      </w:pPr>
      <w:r>
        <w:t xml:space="preserve">Non-renewable Electricity: 10 kWh * (1 - 0.50) = 5 kWh/unit</w:t>
      </w:r>
    </w:p>
    <w:p>
      <w:pPr>
        <w:numPr>
          <w:ilvl w:val="1"/>
          <w:numId w:val="1011"/>
        </w:numPr>
        <w:pStyle w:val="Compact"/>
      </w:pPr>
      <w:r>
        <w:t xml:space="preserve">China Grid Electricity EF: 0.7 kg CO2e/kWh</w:t>
      </w:r>
    </w:p>
    <w:p>
      <w:pPr>
        <w:numPr>
          <w:ilvl w:val="1"/>
          <w:numId w:val="1011"/>
        </w:numPr>
        <w:pStyle w:val="Compact"/>
      </w:pPr>
      <w:r>
        <w:t xml:space="preserve">Calculation: 5 kWh/unit * 0.7 kg CO2e/kWh =</w:t>
      </w:r>
      <w:r>
        <w:t xml:space="preserve"> </w:t>
      </w:r>
      <w:r>
        <w:rPr>
          <w:bCs/>
          <w:b/>
        </w:rPr>
        <w:t xml:space="preserve">3.50 kg CO2e</w:t>
      </w:r>
    </w:p>
    <w:p>
      <w:pPr>
        <w:pStyle w:val="FirstParagraph"/>
      </w:pPr>
      <w:r>
        <w:rPr>
          <w:bCs/>
          <w:b/>
        </w:rPr>
        <w:t xml:space="preserve">Total Illustrative Scope 1 &amp; 2 Production Emissions: 3.50 kg CO2e</w:t>
      </w:r>
    </w:p>
    <w:bookmarkEnd w:id="32"/>
    <w:bookmarkStart w:id="33" w:name="X6e35b5f3d7c1b8ed82ac5268daaec003bb92d7a"/>
    <w:p>
      <w:pPr>
        <w:pStyle w:val="Heading4"/>
      </w:pPr>
      <w:r>
        <w:t xml:space="preserve">Scope 3: Downstream Emissions (Post-Factory Gate)</w:t>
      </w:r>
    </w:p>
    <w:p>
      <w:pPr>
        <w:numPr>
          <w:ilvl w:val="0"/>
          <w:numId w:val="1012"/>
        </w:numPr>
        <w:pStyle w:val="Compact"/>
      </w:pPr>
      <w:r>
        <w:rPr>
          <w:bCs/>
          <w:b/>
        </w:rPr>
        <w:t xml:space="preserve">Transport to Customer (Downstream Logistics):</w:t>
      </w:r>
    </w:p>
    <w:p>
      <w:pPr>
        <w:numPr>
          <w:ilvl w:val="1"/>
          <w:numId w:val="1013"/>
        </w:numPr>
        <w:pStyle w:val="Compact"/>
      </w:pPr>
      <w:r>
        <w:t xml:space="preserve">Last-Mile Delivery Channel: Light Commercial Vehicle</w:t>
      </w:r>
    </w:p>
    <w:p>
      <w:pPr>
        <w:numPr>
          <w:ilvl w:val="1"/>
          <w:numId w:val="1013"/>
        </w:numPr>
        <w:pStyle w:val="Compact"/>
      </w:pPr>
      <w:r>
        <w:t xml:space="preserve">Assumed Last-Mile Distance: 50 km (Illustrative)</w:t>
      </w:r>
    </w:p>
    <w:p>
      <w:pPr>
        <w:numPr>
          <w:ilvl w:val="1"/>
          <w:numId w:val="1013"/>
        </w:numPr>
        <w:pStyle w:val="Compact"/>
      </w:pPr>
      <w:r>
        <w:t xml:space="preserve">Emission Factor: 0.2 kg CO2e/km</w:t>
      </w:r>
    </w:p>
    <w:p>
      <w:pPr>
        <w:numPr>
          <w:ilvl w:val="1"/>
          <w:numId w:val="1013"/>
        </w:numPr>
        <w:pStyle w:val="Compact"/>
      </w:pPr>
      <w:r>
        <w:t xml:space="preserve">Calculation: 50 km * 0.2 kg CO2e/km =</w:t>
      </w:r>
      <w:r>
        <w:t xml:space="preserve"> </w:t>
      </w:r>
      <w:r>
        <w:rPr>
          <w:bCs/>
          <w:b/>
        </w:rPr>
        <w:t xml:space="preserve">10.00 kg CO2e</w:t>
      </w:r>
    </w:p>
    <w:p>
      <w:pPr>
        <w:numPr>
          <w:ilvl w:val="0"/>
          <w:numId w:val="1012"/>
        </w:numPr>
        <w:pStyle w:val="Compact"/>
      </w:pPr>
      <w:r>
        <w:rPr>
          <w:bCs/>
          <w:b/>
        </w:rPr>
        <w:t xml:space="preserve">Use Phase Energy Consumption:</w:t>
      </w:r>
    </w:p>
    <w:p>
      <w:pPr>
        <w:numPr>
          <w:ilvl w:val="1"/>
          <w:numId w:val="1014"/>
        </w:numPr>
        <w:pStyle w:val="Compact"/>
      </w:pPr>
      <w:r>
        <w:t xml:space="preserve">Product Lifespan: 5 years (Illustrative `omtzgeyvfy`)</w:t>
      </w:r>
    </w:p>
    <w:p>
      <w:pPr>
        <w:numPr>
          <w:ilvl w:val="1"/>
          <w:numId w:val="1014"/>
        </w:numPr>
        <w:pStyle w:val="Compact"/>
      </w:pPr>
      <w:r>
        <w:t xml:space="preserve">Energy Consumption in Use: 5 kWh/year (Illustrative `pxtmsiqupl`)</w:t>
      </w:r>
    </w:p>
    <w:p>
      <w:pPr>
        <w:numPr>
          <w:ilvl w:val="1"/>
          <w:numId w:val="1014"/>
        </w:numPr>
        <w:pStyle w:val="Compact"/>
      </w:pPr>
      <w:r>
        <w:t xml:space="preserve">Total Use Phase Energy: 5 kWh/year * 5 years = 25 kWh</w:t>
      </w:r>
    </w:p>
    <w:p>
      <w:pPr>
        <w:numPr>
          <w:ilvl w:val="1"/>
          <w:numId w:val="1014"/>
        </w:numPr>
        <w:pStyle w:val="Compact"/>
      </w:pPr>
      <w:r>
        <w:t xml:space="preserve">Grid Electricity EF (Use Phase): 0.4 kg CO2e/kWh</w:t>
      </w:r>
    </w:p>
    <w:p>
      <w:pPr>
        <w:numPr>
          <w:ilvl w:val="1"/>
          <w:numId w:val="1014"/>
        </w:numPr>
        <w:pStyle w:val="Compact"/>
      </w:pPr>
      <w:r>
        <w:t xml:space="preserve">Calculation: 25 kWh * 0.4 kg CO2e/kWh =</w:t>
      </w:r>
      <w:r>
        <w:t xml:space="preserve"> </w:t>
      </w:r>
      <w:r>
        <w:rPr>
          <w:bCs/>
          <w:b/>
        </w:rPr>
        <w:t xml:space="preserve">10.00 kg CO2e</w:t>
      </w:r>
    </w:p>
    <w:p>
      <w:pPr>
        <w:numPr>
          <w:ilvl w:val="0"/>
          <w:numId w:val="1012"/>
        </w:numPr>
        <w:pStyle w:val="Compact"/>
      </w:pPr>
      <w:r>
        <w:rPr>
          <w:bCs/>
          <w:b/>
        </w:rPr>
        <w:t xml:space="preserve">End-of-Life (EoL) Treatment:</w:t>
      </w:r>
    </w:p>
    <w:p>
      <w:pPr>
        <w:numPr>
          <w:ilvl w:val="1"/>
          <w:numId w:val="1015"/>
        </w:numPr>
        <w:pStyle w:val="Compact"/>
      </w:pPr>
      <w:r>
        <w:t xml:space="preserve">Product Weight at EoL: 1 kg (assuming no material loss during use).</w:t>
      </w:r>
    </w:p>
    <w:p>
      <w:pPr>
        <w:numPr>
          <w:ilvl w:val="1"/>
          <w:numId w:val="1015"/>
        </w:numPr>
        <w:pStyle w:val="Compact"/>
      </w:pPr>
      <w:r>
        <w:t xml:space="preserve">Recyclability Percentage: 70% (Illustrative `puofejfeyi`)</w:t>
      </w:r>
    </w:p>
    <w:p>
      <w:pPr>
        <w:numPr>
          <w:ilvl w:val="1"/>
          <w:numId w:val="1015"/>
        </w:numPr>
        <w:pStyle w:val="Compact"/>
      </w:pPr>
      <w:r>
        <w:t xml:space="preserve">Waste to Landfill/Incineration: 30%</w:t>
      </w:r>
    </w:p>
    <w:p>
      <w:pPr>
        <w:numPr>
          <w:ilvl w:val="1"/>
          <w:numId w:val="1015"/>
        </w:numPr>
        <w:pStyle w:val="Compact"/>
      </w:pPr>
      <w:r>
        <w:t xml:space="preserve">Avoided Emissions from Recycling: Assuming a credit for 70% recycled material, avoiding virgin material production. For example, assuming an average credit of -1.5 kg CO2e/kg for recycled materials (varies by material).</w:t>
      </w:r>
    </w:p>
    <w:p>
      <w:pPr>
        <w:numPr>
          <w:ilvl w:val="1"/>
          <w:numId w:val="1015"/>
        </w:numPr>
        <w:pStyle w:val="Compact"/>
      </w:pPr>
      <w:r>
        <w:t xml:space="preserve">Calculation: 0.7 kg * (-1.5 kg CO2e/kg) = -1.05 kg CO2e (credit)</w:t>
      </w:r>
    </w:p>
    <w:p>
      <w:pPr>
        <w:numPr>
          <w:ilvl w:val="1"/>
          <w:numId w:val="1015"/>
        </w:numPr>
        <w:pStyle w:val="Compact"/>
      </w:pPr>
      <w:r>
        <w:t xml:space="preserve">Emissions from Landfill/Incineration (0.3 kg of waste): Assuming a small positive emission, e.g., 0.1 kg CO2e/kg.</w:t>
      </w:r>
    </w:p>
    <w:p>
      <w:pPr>
        <w:numPr>
          <w:ilvl w:val="1"/>
          <w:numId w:val="1015"/>
        </w:numPr>
        <w:pStyle w:val="Compact"/>
      </w:pPr>
      <w:r>
        <w:t xml:space="preserve">Calculation: 0.3 kg * 0.1 kg CO2e/kg = 0.03 kg CO2e</w:t>
      </w:r>
    </w:p>
    <w:p>
      <w:pPr>
        <w:numPr>
          <w:ilvl w:val="1"/>
          <w:numId w:val="1015"/>
        </w:numPr>
        <w:pStyle w:val="Compact"/>
      </w:pPr>
      <w:r>
        <w:t xml:space="preserve">Total EoL Impact: -1.05 + 0.03 =</w:t>
      </w:r>
      <w:r>
        <w:t xml:space="preserve"> </w:t>
      </w:r>
      <w:r>
        <w:rPr>
          <w:bCs/>
          <w:b/>
        </w:rPr>
        <w:t xml:space="preserve">-1.02 kg CO2e</w:t>
      </w:r>
    </w:p>
    <w:p>
      <w:pPr>
        <w:numPr>
          <w:ilvl w:val="0"/>
          <w:numId w:val="1012"/>
        </w:numPr>
        <w:pStyle w:val="Compact"/>
      </w:pPr>
      <w:r>
        <w:rPr>
          <w:bCs/>
          <w:b/>
        </w:rPr>
        <w:t xml:space="preserve">Land Sector and Removals (LSR) Update (2026 GHG Protocol):</w:t>
      </w:r>
    </w:p>
    <w:p>
      <w:pPr>
        <w:numPr>
          <w:ilvl w:val="1"/>
          <w:numId w:val="1016"/>
        </w:numPr>
        <w:pStyle w:val="Compact"/>
      </w:pPr>
      <w:r>
        <w:t xml:space="preserve">While specific data for land use change or biogenic carbon removals for `tophvhzlvn` is not provided, the LSR standard requires accounting for CO2 and non-CO2 GHG emissions and removals from biomass and soil carbon associated with the product\'s value chain. This would include land transformation for raw material sourcing (e.g., deforestation for wood products) or carbon sequestration in product components (e.g., long-lived wood products). For this generic product, no specific LSR impact is quantified due to lack of data, but it is acknowledged as a mandatory reporting component for future, more granular analyses.</w:t>
      </w:r>
    </w:p>
    <w:p>
      <w:pPr>
        <w:pStyle w:val="FirstParagraph"/>
      </w:pPr>
      <w:r>
        <w:rPr>
          <w:bCs/>
          <w:b/>
        </w:rPr>
        <w:t xml:space="preserve">Total Illustrative Scope 3 Downstream Emissions: ~18.98 kg CO2e</w:t>
      </w:r>
      <w:r>
        <w:t xml:space="preserve"> </w:t>
      </w:r>
      <w:r>
        <w:t xml:space="preserve">(10.00 + 10.00 - 1.02)</w:t>
      </w:r>
    </w:p>
    <w:bookmarkEnd w:id="33"/>
    <w:bookmarkEnd w:id="34"/>
    <w:bookmarkStart w:id="35" w:name="X6b8e0f51cc8d2b65b24d39318f4cb4011b1e8d8"/>
    <w:p>
      <w:pPr>
        <w:pStyle w:val="Heading3"/>
      </w:pPr>
      <w:r>
        <w:t xml:space="preserve">Summary of Illustrative Product Carbon Footprint for tophvhzlvn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Emissions (kg CO2e)</w:t>
            </w:r>
          </w:p>
        </w:tc>
        <w:tc>
          <w:tcPr/>
          <w:p>
            <w:pPr>
              <w:pStyle w:val="Compact"/>
              <w:jc w:val="left"/>
            </w:pPr>
            <w:r>
              <w:t xml:space="preserve">Coverage (for Scope 3)</w:t>
            </w:r>
          </w:p>
        </w:tc>
      </w:tr>
      <w:tr>
        <w:tc>
          <w:tcPr/>
          <w:p>
            <w:pPr>
              <w:pStyle w:val="Compact"/>
              <w:jc w:val="left"/>
            </w:pPr>
            <w:r>
              <w:rPr>
                <w:bCs/>
                <w:b/>
              </w:rP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N/A</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3.50</w:t>
            </w:r>
          </w:p>
        </w:tc>
        <w:tc>
          <w:tcPr/>
          <w:p>
            <w:pPr>
              <w:pStyle w:val="Compact"/>
              <w:jc w:val="left"/>
            </w:pPr>
            <w:r>
              <w:t xml:space="preserve">N/A</w:t>
            </w:r>
          </w:p>
        </w:tc>
      </w:tr>
      <w:tr>
        <w:tc>
          <w:tcPr/>
          <w:p>
            <w:pPr>
              <w:pStyle w:val="Compact"/>
              <w:jc w:val="left"/>
            </w:pPr>
            <w:r>
              <w:rPr>
                <w:bCs/>
                <w:b/>
              </w:rPr>
              <w:t xml:space="preserve">Scope 3</w:t>
            </w:r>
          </w:p>
        </w:tc>
        <w:tc>
          <w:tcPr/>
          <w:p>
            <w:pPr>
              <w:pStyle w:val="Compact"/>
              <w:jc w:val="left"/>
            </w:pPr>
            <w:r>
              <w:t xml:space="preserve">Upstream (Materials &amp; Manufacturing)</w:t>
            </w:r>
          </w:p>
        </w:tc>
        <w:tc>
          <w:tcPr/>
          <w:p>
            <w:pPr>
              <w:pStyle w:val="Compact"/>
              <w:jc w:val="left"/>
            </w:pPr>
            <w:r>
              <w:t xml:space="preserve">3.09</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Upstream (Transport)</w:t>
            </w:r>
          </w:p>
        </w:tc>
        <w:tc>
          <w:tcPr/>
          <w:p>
            <w:pPr>
              <w:pStyle w:val="Compact"/>
              <w:jc w:val="left"/>
            </w:pPr>
            <w:r>
              <w:t xml:space="preserve">0.15</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(Transport to Customer)</w:t>
            </w:r>
          </w:p>
        </w:tc>
        <w:tc>
          <w:tcPr/>
          <w:p>
            <w:pPr>
              <w:pStyle w:val="Compact"/>
              <w:jc w:val="left"/>
            </w:pPr>
            <w:r>
              <w:t xml:space="preserve">10.00</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(Use Phase)</w:t>
            </w:r>
          </w:p>
        </w:tc>
        <w:tc>
          <w:tcPr/>
          <w:p>
            <w:pPr>
              <w:pStyle w:val="Compact"/>
              <w:jc w:val="left"/>
            </w:pPr>
            <w:r>
              <w:t xml:space="preserve">10.00</w:t>
            </w:r>
          </w:p>
        </w:tc>
        <w:tc>
          <w:tcPr/>
          <w:p>
            <w:pPr>
              <w:pStyle w:val="Compact"/>
              <w:jc w:val="left"/>
            </w:pPr>
            <w:r>
              <w:t xml:space="preserve">Included</w:t>
            </w:r>
          </w:p>
        </w:tc>
      </w:tr>
      <w:tr>
        <w:tc>
          <w:tcPr/>
          <w:p>
            <w:pPr>
              <w:pStyle w:val="Compact"/>
              <w:jc w:val="left"/>
            </w:pPr>
            <w:r>
              <w:rPr>
                <w:bCs/>
                <w:b/>
              </w:rPr>
              <w:t xml:space="preserve">Scope 3</w:t>
            </w:r>
          </w:p>
        </w:tc>
        <w:tc>
          <w:tcPr/>
          <w:p>
            <w:pPr>
              <w:pStyle w:val="Compact"/>
              <w:jc w:val="left"/>
            </w:pPr>
            <w:r>
              <w:t xml:space="preserve">Downstream (End-of-Life)</w:t>
            </w:r>
          </w:p>
        </w:tc>
        <w:tc>
          <w:tcPr/>
          <w:p>
            <w:pPr>
              <w:pStyle w:val="Compact"/>
              <w:jc w:val="left"/>
            </w:pPr>
            <w:r>
              <w:t xml:space="preserve">-1.02</w:t>
            </w:r>
          </w:p>
        </w:tc>
        <w:tc>
          <w:tcPr/>
          <w:p>
            <w:pPr>
              <w:pStyle w:val="Compact"/>
              <w:jc w:val="left"/>
            </w:pPr>
            <w:r>
              <w:t xml:space="preserve">Included</w:t>
            </w:r>
          </w:p>
        </w:tc>
      </w:tr>
      <w:tr>
        <w:tc>
          <w:tcPr>
            <w:gridSpan w:val="2"/>
          </w:tcPr>
          <w:p>
            <w:pPr>
              <w:pStyle w:val="Compact"/>
              <w:jc w:val="right"/>
            </w:pPr>
            <w:r>
              <w:rPr>
                <w:bCs/>
                <w:b/>
              </w:rPr>
              <w:t xml:space="preserve">Total Illustrative Product Carbon Footprint:</w:t>
            </w:r>
          </w:p>
        </w:tc>
        <w:tc>
          <w:tcPr/>
          <w:p>
            <w:pPr>
              <w:pStyle w:val="Compact"/>
              <w:jc w:val="left"/>
            </w:pPr>
            <w:r>
              <w:rPr>
                <w:bCs/>
                <w:b/>
              </w:rPr>
              <w:t xml:space="preserve">25.72</w:t>
            </w:r>
          </w:p>
        </w:tc>
        <w:tc>
          <w:tcPr/>
          <w:p>
            <w:pPr>
              <w:pStyle w:val="Compact"/>
              <w:jc w:val="left"/>
            </w:pPr>
            <w:r>
              <w:rPr>
                <w:bCs/>
                <w:b/>
              </w:rPr>
              <w:t xml:space="preserve">&gt;95%</w:t>
            </w:r>
            <w:r>
              <w:t xml:space="preserve"> </w:t>
            </w:r>
            <w:r>
              <w:t xml:space="preserve">(for illustrative Scope 3)</w:t>
            </w:r>
          </w:p>
        </w:tc>
      </w:tr>
    </w:tbl>
    <w:p>
      <w:pPr>
        <w:pStyle w:val="BodyText"/>
      </w:pPr>
      <w:r>
        <w:rPr>
          <w:iCs/>
          <w:i/>
        </w:rPr>
        <w:t xml:space="preserve">Note: The total PCF is an illustrative value based on the assumed numerical parameters and generic emission factors to demonstrate the calculation methodology. Actual values would require specific, audited data for all input parameters. The Scope 3 coverage goal of &gt;95% is met in this illustrative example by including all major upstream and downstream categories.</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Based on the illustrative calculations, the primary emission hotspots for tophvhzlvn are:</w:t>
      </w:r>
    </w:p>
    <w:p>
      <w:pPr>
        <w:numPr>
          <w:ilvl w:val="0"/>
          <w:numId w:val="1017"/>
        </w:numPr>
        <w:pStyle w:val="Compact"/>
      </w:pPr>
      <w:r>
        <w:rPr>
          <w:bCs/>
          <w:b/>
        </w:rPr>
        <w:t xml:space="preserve">Downstream Transport to Customer (~39% of total illustrative PCF):</w:t>
      </w:r>
      <w:r>
        <w:t xml:space="preserve"> </w:t>
      </w:r>
      <w:r>
        <w:t xml:space="preserve">The last-mile delivery significantly contributes to the footprint, suggesting optimization opportunities in logistics and delivery methods.</w:t>
      </w:r>
    </w:p>
    <w:p>
      <w:pPr>
        <w:numPr>
          <w:ilvl w:val="0"/>
          <w:numId w:val="1017"/>
        </w:numPr>
        <w:pStyle w:val="Compact"/>
      </w:pPr>
      <w:r>
        <w:rPr>
          <w:bCs/>
          <w:b/>
        </w:rPr>
        <w:t xml:space="preserve">Use Phase Energy Consumption (~39% of total illustrative PCF):</w:t>
      </w:r>
      <w:r>
        <w:t xml:space="preserve"> </w:t>
      </w:r>
      <w:r>
        <w:t xml:space="preserve">The product\'s energy consumption during its lifespan is a major contributor, highlighting the importance of energy efficiency in product design.</w:t>
      </w:r>
    </w:p>
    <w:p>
      <w:pPr>
        <w:numPr>
          <w:ilvl w:val="0"/>
          <w:numId w:val="1017"/>
        </w:numPr>
        <w:pStyle w:val="Compact"/>
      </w:pPr>
      <w:r>
        <w:rPr>
          <w:bCs/>
          <w:b/>
        </w:rPr>
        <w:t xml:space="preserve">Production Phase Energy (Scope 2) (~14% of total illustrative PCF):</w:t>
      </w:r>
      <w:r>
        <w:t xml:space="preserve"> </w:t>
      </w:r>
      <w:r>
        <w:t xml:space="preserve">While renewable energy is utilized, the remaining grid electricity from China\'s grid still represents a notable portion.</w:t>
      </w:r>
    </w:p>
    <w:p>
      <w:pPr>
        <w:numPr>
          <w:ilvl w:val="0"/>
          <w:numId w:val="1017"/>
        </w:numPr>
        <w:pStyle w:val="Compact"/>
      </w:pPr>
      <w:r>
        <w:rPr>
          <w:bCs/>
          <w:b/>
        </w:rPr>
        <w:t xml:space="preserve">Materials &amp; Manufacturing (Scope 3 Upstream) (~12% of total illustrative PCF):</w:t>
      </w:r>
      <w:r>
        <w:t xml:space="preserve"> </w:t>
      </w:r>
      <w:r>
        <w:t xml:space="preserve">Raw material extraction and processing, as detailed in the BOM, also represent a significant initial impact.</w:t>
      </w:r>
    </w:p>
    <w:bookmarkEnd w:id="37"/>
    <w:bookmarkStart w:id="38" w:name="reliability-assessment"/>
    <w:p>
      <w:pPr>
        <w:pStyle w:val="Heading3"/>
      </w:pPr>
      <w:r>
        <w:t xml:space="preserve">Reliability Assessment</w:t>
      </w:r>
    </w:p>
    <w:p>
      <w:pPr>
        <w:pStyle w:val="FirstParagraph"/>
      </w:pPr>
      <w:r>
        <w:t xml:space="preserve">The reliability of this report is directly dependent on the accuracy and completeness of the input data.</w:t>
      </w:r>
    </w:p>
    <w:p>
      <w:pPr>
        <w:numPr>
          <w:ilvl w:val="0"/>
          <w:numId w:val="1018"/>
        </w:numPr>
        <w:pStyle w:val="Compact"/>
      </w:pPr>
      <w:r>
        <w:rPr>
          <w:bCs/>
          <w:b/>
        </w:rPr>
        <w:t xml:space="preserve">High Reliability:</w:t>
      </w:r>
      <w:r>
        <w:t xml:space="preserve"> </w:t>
      </w:r>
      <w:r>
        <w:t xml:space="preserve">The provided Detailed Bill of Materials (`ksjvuqdu`) with pre-calculated "Total Carbon" offers a strong basis for material impact.</w:t>
      </w:r>
    </w:p>
    <w:p>
      <w:pPr>
        <w:numPr>
          <w:ilvl w:val="0"/>
          <w:numId w:val="1018"/>
        </w:numPr>
        <w:pStyle w:val="Compact"/>
      </w:pPr>
      <w:r>
        <w:rPr>
          <w:bCs/>
          <w:b/>
        </w:rPr>
        <w:t xml:space="preserve">Medium Reliability (Illustrative):</w:t>
      </w:r>
      <w:r>
        <w:t xml:space="preserve"> </w:t>
      </w:r>
      <w:r>
        <w:t xml:space="preserve">Parameters like `Select Mode`, `ieqymgpkph`, `Delivery Type`, `wpvrvoenmk`, `voxzwkpqdo`, `omtzgeyvfy`, `pxtmsiqupl`, `puofejfeyi`, and `oqufgjdjgy` were provided as placeholder strings. The illustrative numerical values and generic emission factors used for calculation demonstration introduce uncertainty. For a definitive PCF, primary data for these parameters and specific, verified emission factors (e.g., from Ecoinvent, DEFRA, or national databases) relevant to the geographic scope would be essential.</w:t>
      </w:r>
    </w:p>
    <w:p>
      <w:pPr>
        <w:numPr>
          <w:ilvl w:val="0"/>
          <w:numId w:val="1018"/>
        </w:numPr>
        <w:pStyle w:val="Compact"/>
      </w:pPr>
      <w:r>
        <w:rPr>
          <w:bCs/>
          <w:b/>
        </w:rPr>
        <w:t xml:space="preserve">GHG Protocol Adherence:</w:t>
      </w:r>
      <w:r>
        <w:t xml:space="preserve"> </w:t>
      </w:r>
      <w:r>
        <w:t xml:space="preserve">Strict adherence to the GHG Protocol ensures a robust methodology for calculation and reporting, enhancing the overall credibility. The 2026 LSR Update and 95% Scope 3 coverage commitment further strengthen this.</w:t>
      </w:r>
    </w:p>
    <w:p>
      <w:r>
        <w:pict>
          <v:rect style="width:0;height:1.5pt" o:hralign="center" o:hrstd="t" o:hr="t"/>
        </w:pict>
      </w:r>
    </w:p>
    <w:bookmarkEnd w:id="38"/>
    <w:bookmarkEnd w:id="39"/>
    <w:bookmarkStart w:id="41" w:name="conclusion-and-recommendations"/>
    <w:p>
      <w:pPr>
        <w:pStyle w:val="Heading2"/>
      </w:pPr>
      <w:r>
        <w:t xml:space="preserve">Conclusion and Recommendations</w:t>
      </w:r>
    </w:p>
    <w:p>
      <w:pPr>
        <w:pStyle w:val="FirstParagraph"/>
      </w:pPr>
      <w:r>
        <w:t xml:space="preserve">This detailed PCF analysis for tophvhzlvn by sgpqewxhgn, performed by zhkiuswmgr, provides critical insights into the product\'s environmental performance. The illustrative total PCF of ~25.72 kg CO2e per unit highlights the significant impact across its lifecycle, particularly in the downstream phases.</w:t>
      </w:r>
    </w:p>
    <w:p>
      <w:pPr>
        <w:pStyle w:val="BodyText"/>
      </w:pPr>
      <w:r>
        <w:t xml:space="preserve">To reduce the product\'s carbon footprint, sgpqewxhgn should focus on the following areas:</w:t>
      </w:r>
    </w:p>
    <w:p>
      <w:pPr>
        <w:numPr>
          <w:ilvl w:val="0"/>
          <w:numId w:val="1019"/>
        </w:numPr>
        <w:pStyle w:val="Compact"/>
      </w:pPr>
      <w:r>
        <w:rPr>
          <w:bCs/>
          <w:b/>
        </w:rPr>
        <w:t xml:space="preserve">Product Design for Energy Efficiency:</w:t>
      </w:r>
      <w:r>
        <w:t xml:space="preserve"> </w:t>
      </w:r>
      <w:r>
        <w:t xml:space="preserve">Prioritize reducing energy consumption during the product\'s use phase (`pxtmsiqupl`) through innovative design and more efficient components.</w:t>
      </w:r>
    </w:p>
    <w:p>
      <w:pPr>
        <w:numPr>
          <w:ilvl w:val="0"/>
          <w:numId w:val="1019"/>
        </w:numPr>
        <w:pStyle w:val="Compact"/>
      </w:pPr>
      <w:r>
        <w:rPr>
          <w:bCs/>
          <w:b/>
        </w:rPr>
        <w:t xml:space="preserve">Logistics Optimization:</w:t>
      </w:r>
      <w:r>
        <w:t xml:space="preserve"> </w:t>
      </w:r>
      <w:r>
        <w:t xml:space="preserve">Investigate more efficient and lower-carbon transport modes for both upstream and downstream logistics (`Select Mode`, `Delivery Type`, `ieqymgpkph`), potentially exploring consolidated shipments, electric vehicles, or rail.</w:t>
      </w:r>
    </w:p>
    <w:p>
      <w:pPr>
        <w:numPr>
          <w:ilvl w:val="0"/>
          <w:numId w:val="1019"/>
        </w:numPr>
        <w:pStyle w:val="Compact"/>
      </w:pPr>
      <w:r>
        <w:rPr>
          <w:bCs/>
          <w:b/>
        </w:rPr>
        <w:t xml:space="preserve">Renewable Energy Sourcing:</w:t>
      </w:r>
      <w:r>
        <w:t xml:space="preserve"> </w:t>
      </w:r>
      <w:r>
        <w:t xml:space="preserve">Increase the percentage of renewable energy (`wpvrvoenmk`) used in the production facility in China to further reduce Scope 2 emissions.</w:t>
      </w:r>
    </w:p>
    <w:p>
      <w:pPr>
        <w:numPr>
          <w:ilvl w:val="0"/>
          <w:numId w:val="1019"/>
        </w:numPr>
        <w:pStyle w:val="Compact"/>
      </w:pPr>
      <w:r>
        <w:rPr>
          <w:bCs/>
          <w:b/>
        </w:rPr>
        <w:t xml:space="preserve">Circular Economy Strategies:</w:t>
      </w:r>
      <w:r>
        <w:t xml:space="preserve"> </w:t>
      </w:r>
      <w:r>
        <w:t xml:space="preserve">Enhance and promote circular programs (`oqufgjdjgy`) and improve recyclability (`puofejfeyi`) beyond the current levels to maximize end-of-life benefits and minimize waste.</w:t>
      </w:r>
    </w:p>
    <w:p>
      <w:pPr>
        <w:numPr>
          <w:ilvl w:val="0"/>
          <w:numId w:val="1019"/>
        </w:numPr>
        <w:pStyle w:val="Compact"/>
      </w:pPr>
      <w:r>
        <w:rPr>
          <w:bCs/>
          <w:b/>
        </w:rPr>
        <w:t xml:space="preserve">Supplier Engagement:</w:t>
      </w:r>
      <w:r>
        <w:t xml:space="preserve"> </w:t>
      </w:r>
      <w:r>
        <w:t xml:space="preserve">Work with suppliers to identify and procure lower-carbon materials and components, reducing the embedded emissions detailed in the BOM.</w:t>
      </w:r>
    </w:p>
    <w:p>
      <w:pPr>
        <w:numPr>
          <w:ilvl w:val="0"/>
          <w:numId w:val="1019"/>
        </w:numPr>
        <w:pStyle w:val="Compact"/>
      </w:pPr>
      <w:r>
        <w:rPr>
          <w:bCs/>
          <w:b/>
        </w:rPr>
        <w:t xml:space="preserve">Data Collection &amp; Refinement:</w:t>
      </w:r>
      <w:r>
        <w:t xml:space="preserve"> </w:t>
      </w:r>
      <w:r>
        <w:t xml:space="preserve">Implement robust systems for collecting primary data for all parameters currently represented by placeholders to ensure highly accurate and actionable PCF results in future assessments.</w:t>
      </w:r>
    </w:p>
    <w:p>
      <w:r>
        <w:pict>
          <v:rect style="width:0;height:1.5pt" o:hralign="center" o:hrstd="t" o:hr="t"/>
        </w:pict>
      </w:r>
    </w:p>
    <w:p>
      <w:pPr>
        <w:pStyle w:val="FirstParagraph"/>
      </w:pPr>
      <w:r>
        <w:t xml:space="preserve">Confidential - Internal Use Only | Page</w:t>
      </w:r>
      <w:r>
        <w:t xml:space="preserve"> </w:t>
      </w:r>
      <w:bookmarkStart w:id="40" w:name="pageNumber"/>
      <w:bookmarkEnd w:id="40"/>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tophvhzlvn</dc:title>
  <dc:creator/>
  <dc:description>Detailed Product Carbon Footprint (PCF) analysis report for tophvhzlvn, adhering to GHG Protocol standards, conducted by zhkiuswmgr, Senior Sustainability Consultant.</dc:description>
  <dc:language>en</dc:language>
  <cp:keywords/>
  <dcterms:created xsi:type="dcterms:W3CDTF">2026-05-30T19:26:22Z</dcterms:created>
  <dcterms:modified xsi:type="dcterms:W3CDTF">2026-05-30T19:26:22Z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