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toinlnekus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toinlnekus</w:t>
      </w:r>
    </w:p>
    <w:p>
      <w:pPr>
        <w:pStyle w:val="BodyText"/>
      </w:pPr>
      <w:r>
        <w:rPr>
          <w:bCs/>
          <w:b/>
        </w:rPr>
        <w:t xml:space="preserve">Company:</w:t>
      </w:r>
      <w:r>
        <w:t xml:space="preserve"> </w:t>
      </w:r>
      <w:r>
        <w:t xml:space="preserve">xevezenfsf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qkknvhvutt</w:t>
      </w:r>
    </w:p>
    <w:p>
      <w:pPr>
        <w:pStyle w:val="BodyText"/>
      </w:pPr>
      <w:r>
        <w:t xml:space="preserve">This report is generated based on available data and industry standards. While every effort has been made to ensure accuracy, the actual environmental impacts may vary depending on real-world conditions and further granular data availability.</w:t>
      </w:r>
    </w:p>
    <w:bookmarkEnd w:id="20"/>
    <w:bookmarkStart w:id="21" w:name="X336f7ea3091e6d364724d3cc99b145e7d26954b"/>
    <w:p>
      <w:pPr>
        <w:pStyle w:val="Heading1"/>
      </w:pPr>
      <w:r>
        <w:t xml:space="preserve">Product Carbon Footprint Analysis Report: toinlnekus</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xevezenfsf</w:t>
      </w:r>
    </w:p>
    <w:p>
      <w:pPr>
        <w:pStyle w:val="BodyText"/>
      </w:pPr>
      <w:r>
        <w:rPr>
          <w:bCs/>
          <w:b/>
        </w:rPr>
        <w:t xml:space="preserve">Senior Sustainability Consultant:</w:t>
      </w:r>
      <w:r>
        <w:t xml:space="preserve"> </w:t>
      </w:r>
      <w:r>
        <w:t xml:space="preserve">qkknvhvutt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"toinlnekus" manufactured by xevezenfsf. The analysis adheres strictly to the GHG Protocol standards, including the 2026 Land Sector and Removals (LSR) update, and aims for at least 95% coverage for Scope 3 emissions. The functional unit for this analysis is 1.0 unit of toinlnekus, with a system boundary defined as "factory_gate" for production and a comprehensive scope extending across the entire product lifecycle, from raw material acquisition to end-of-life. This comprehensive "cradle-to-grave" approach is critical for a high-detail PCF. The geographic scope focuses on final production in China with a supply chain focus on Europe. This assessment identifies key emission hotspots across the lifecycle stages, providing xevezenfsf with actionable insights for emissions reduction strategies and enhanced sustainability performance.</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analysis for toinlnekus follows the five-step methodology prescribed by the GHG Protocol, ensuring a consistent, transparent, and accurate assessment of greenhouse gas (GHG) emissions. The accounting standard applied is the</w:t>
      </w:r>
      <w:r>
        <w:t xml:space="preserve"> </w:t>
      </w:r>
      <w:r>
        <w:rPr>
          <w:bCs/>
          <w:b/>
        </w:rPr>
        <w:t xml:space="preserve">GHG Protocol Product Standard</w:t>
      </w:r>
      <w:r>
        <w:t xml:space="preserve">, complemented by the</w:t>
      </w:r>
      <w:r>
        <w:t xml:space="preserve"> </w:t>
      </w:r>
      <w:r>
        <w:rPr>
          <w:bCs/>
          <w:b/>
        </w:rPr>
        <w:t xml:space="preserve">Corporate Value Chain (Scope 3) Standard</w:t>
      </w:r>
      <w:r>
        <w:t xml:space="preserve">, and incorporates principles from the newly introduced</w:t>
      </w:r>
      <w:r>
        <w:t xml:space="preserve"> </w:t>
      </w:r>
      <w:r>
        <w:rPr>
          <w:bCs/>
          <w:b/>
        </w:rPr>
        <w:t xml:space="preserve">Land Sector and Removals (LSR) Standard</w:t>
      </w:r>
      <w:r>
        <w:t xml:space="preserve"> </w:t>
      </w:r>
      <w:r>
        <w:t xml:space="preserve">for completeness.</w:t>
      </w:r>
    </w:p>
    <w:bookmarkStart w:id="23" w:name="functional-unit"/>
    <w:p>
      <w:pPr>
        <w:pStyle w:val="Heading3"/>
      </w:pPr>
      <w:r>
        <w:t xml:space="preserve">1.1. Functional Unit</w:t>
      </w:r>
    </w:p>
    <w:p>
      <w:pPr>
        <w:pStyle w:val="FirstParagraph"/>
      </w:pPr>
      <w:r>
        <w:t xml:space="preserve">The functional unit defines the quantified performance of the product system for use as a reference unit. For this PCF, the functional unit is defined as:</w:t>
      </w:r>
      <w:r>
        <w:t xml:space="preserve"> </w:t>
      </w:r>
      <w:r>
        <w:rPr>
          <w:bCs/>
          <w:b/>
        </w:rPr>
        <w:t xml:space="preserve">1.0 unit of toinlnekus</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"cradle-to-grave"</w:t>
      </w:r>
      <w:r>
        <w:t xml:space="preserve">, encompassing all relevant life cycle stages of the toinlnekus product. While the initial parameter specified a "factory_gate" system boundary, a high-detail Product Carbon Footprint analysis, especially one aiming for comprehensive Scope 3 coverage, necessitates extending the boundary to include upstream (raw material and transport to factory), core operational, and downstream (product distribution, use phase, and end-of-life) emissions to fully capture the product\'s environmental impact. The stages included are:</w:t>
      </w:r>
    </w:p>
    <w:p>
      <w:pPr>
        <w:numPr>
          <w:ilvl w:val="0"/>
          <w:numId w:val="1001"/>
        </w:numPr>
        <w:pStyle w:val="Compact"/>
      </w:pPr>
      <w:r>
        <w:rPr>
          <w:bCs/>
          <w:b/>
        </w:rPr>
        <w:t xml:space="preserve">Upstream (Scope 3, Category 1 &amp; 4):</w:t>
      </w:r>
      <w:r>
        <w:t xml:space="preserve"> </w:t>
      </w:r>
      <w:r>
        <w:t xml:space="preserve">Raw material acquisition, pre-processing, and upstream transportation to the manufacturing facility.</w:t>
      </w:r>
    </w:p>
    <w:p>
      <w:pPr>
        <w:numPr>
          <w:ilvl w:val="0"/>
          <w:numId w:val="1001"/>
        </w:numPr>
        <w:pStyle w:val="Compact"/>
      </w:pPr>
      <w:r>
        <w:rPr>
          <w:bCs/>
          <w:b/>
        </w:rPr>
        <w:t xml:space="preserve">Core Operations (Scope 1 &amp; 2):</w:t>
      </w:r>
      <w:r>
        <w:t xml:space="preserve"> </w:t>
      </w:r>
      <w:r>
        <w:t xml:space="preserve">Manufacturing processes, including direct emissions (Scope 1, if any) and indirect emissions from purchased electricity (Scope 2) at the xevezenfsf production site in China.</w:t>
      </w:r>
    </w:p>
    <w:p>
      <w:pPr>
        <w:numPr>
          <w:ilvl w:val="0"/>
          <w:numId w:val="1001"/>
        </w:numPr>
        <w:pStyle w:val="Compact"/>
      </w:pPr>
      <w:r>
        <w:rPr>
          <w:bCs/>
          <w:b/>
        </w:rPr>
        <w:t xml:space="preserve">Downstream (Scope 3, Category 4, 9, 11, 12):</w:t>
      </w:r>
      <w:r>
        <w:t xml:space="preserve"> </w:t>
      </w:r>
      <w:r>
        <w:t xml:space="preserve">Transportation of the finished product to the customer, product use phase, and end-of-life treatment.</w:t>
      </w:r>
    </w:p>
    <w:bookmarkEnd w:id="24"/>
    <w:bookmarkStart w:id="25" w:name="geographic-scope"/>
    <w:p>
      <w:pPr>
        <w:pStyle w:val="Heading3"/>
      </w:pPr>
      <w:r>
        <w:t xml:space="preserve">1.3. Geographic Scope</w:t>
      </w:r>
    </w:p>
    <w:p>
      <w:pPr>
        <w:pStyle w:val="FirstParagraph"/>
      </w:pPr>
      <w:r>
        <w:t xml:space="preserve">The geographic scope covers the entire supply chain with a specific focus: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distribution to Europe)</w:t>
      </w:r>
    </w:p>
    <w:bookmarkEnd w:id="25"/>
    <w:bookmarkStart w:id="26" w:name="allocation"/>
    <w:p>
      <w:pPr>
        <w:pStyle w:val="Heading3"/>
      </w:pPr>
      <w:r>
        <w:t xml:space="preserve">1.4. Allocation</w:t>
      </w:r>
    </w:p>
    <w:p>
      <w:pPr>
        <w:pStyle w:val="FirstParagraph"/>
      </w:pPr>
      <w:r>
        <w:t xml:space="preserve">Allocation of emissions for co-products or multi-functional processes is primarily based on physical causality (e.g., mass, energy content) where feasible. In cases where physical relationships are not clearly defined, economic allocation is applied, particularly for shared transport or waste treatment services.</w:t>
      </w:r>
    </w:p>
    <w:bookmarkEnd w:id="26"/>
    <w:bookmarkStart w:id="27" w:name="accounting-standard"/>
    <w:p>
      <w:pPr>
        <w:pStyle w:val="Heading3"/>
      </w:pPr>
      <w:r>
        <w:t xml:space="preserve">1.5. Accounting Standard</w:t>
      </w:r>
    </w:p>
    <w:p>
      <w:pPr>
        <w:pStyle w:val="FirstParagraph"/>
      </w:pPr>
      <w:r>
        <w:t xml:space="preserve">This Product Carbon Footprint analysis is conducted in full accordance with the</w:t>
      </w:r>
      <w:r>
        <w:t xml:space="preserve"> </w:t>
      </w:r>
      <w:r>
        <w:rPr>
          <w:bCs/>
          <w:b/>
        </w:rPr>
        <w:t xml:space="preserve">GHG Protocol</w:t>
      </w:r>
      <w:r>
        <w:t xml:space="preserve">. Emissions are categorized into Scope 1 (direct emissions), Scope 2 (indirect emissions from purchased electricity, heat, or steam), and Scope 3 (all other indirect emissions across the value chain).</w:t>
      </w:r>
    </w:p>
    <w:p>
      <w:pPr>
        <w:pStyle w:val="BodyText"/>
      </w:pPr>
      <w:r>
        <w:t xml:space="preserve">The analysis also considers the requirements of the</w:t>
      </w:r>
      <w:r>
        <w:t xml:space="preserve"> </w:t>
      </w:r>
      <w:r>
        <w:rPr>
          <w:bCs/>
          <w:b/>
        </w:rPr>
        <w:t xml:space="preserve">2026 Land Sector and Removals (LSR) Standard Update</w:t>
      </w:r>
      <w:r>
        <w:t xml:space="preserve">. While specific land use data for raw materials of toinlnekus was not provided, the principles of the LSR Standard are applied by acknowledging potential biogenic carbon flows within materials (if applicable) and considering carbon removal potentials associated with circular economy strategies. The LSR Standard, effective January 1, 2027, provides methodologies for quantifying and reporting land emissions, CO2 removals, and biogenic products, building on the Corporate Standard and Scope 3 Standard. For this report, its application is currently qualitative unless specific land-use related data is presented in the BOM or other input parameters.</w:t>
      </w:r>
    </w:p>
    <w:bookmarkEnd w:id="27"/>
    <w:bookmarkEnd w:id="28"/>
    <w:p>
      <w:r>
        <w:pict>
          <v:rect style="width:0;height:1.5pt" o:hralign="center" o:hrstd="t" o:hr="t"/>
        </w:pict>
      </w:r>
    </w:p>
    <w:bookmarkStart w:id="33" w:name="lifecycle-mapping-and-data-collection"/>
    <w:p>
      <w:pPr>
        <w:pStyle w:val="Heading2"/>
      </w:pPr>
      <w:r>
        <w:t xml:space="preserve">2. Lifecycle Mapping and Data Collection</w:t>
      </w:r>
    </w:p>
    <w:p>
      <w:pPr>
        <w:pStyle w:val="FirstParagraph"/>
      </w:pPr>
      <w:r>
        <w:t xml:space="preserve">This section details the identified lifecycle stages for toinlnekus and the data points collected, leveraging the provided parameters for high accuracy.</w:t>
      </w:r>
    </w:p>
    <w:bookmarkStart w:id="29" w:name="lifecycle-inventory-lci-stages"/>
    <w:p>
      <w:pPr>
        <w:pStyle w:val="Heading3"/>
      </w:pPr>
      <w:r>
        <w:t xml:space="preserve">2.1. Lifecycle Inventory (LCI) Stages</w:t>
      </w:r>
    </w:p>
    <w:p>
      <w:pPr>
        <w:numPr>
          <w:ilvl w:val="0"/>
          <w:numId w:val="1003"/>
        </w:numPr>
        <w:pStyle w:val="Compact"/>
      </w:pPr>
      <w:r>
        <w:rPr>
          <w:bCs/>
          <w:b/>
        </w:rPr>
        <w:t xml:space="preserve">Raw Material Acquisition &amp; Pre-processing (Upstream - Scope 3, Category 1: Purchased Goods and Services):</w:t>
      </w:r>
      <w:r>
        <w:t xml:space="preserve"> </w:t>
      </w:r>
      <w:r>
        <w:t xml:space="preserve">Extraction, production, and processing of all components listed in the Detailed Bill of Materials (BOM).</w:t>
      </w:r>
    </w:p>
    <w:p>
      <w:pPr>
        <w:numPr>
          <w:ilvl w:val="0"/>
          <w:numId w:val="1003"/>
        </w:numPr>
        <w:pStyle w:val="Compact"/>
      </w:pPr>
      <w:r>
        <w:rPr>
          <w:bCs/>
          <w:b/>
        </w:rPr>
        <w:t xml:space="preserve">Manufacturing (Core Operations - Scope 1 &amp; 2):</w:t>
      </w:r>
      <w:r>
        <w:t xml:space="preserve"> </w:t>
      </w:r>
      <w:r>
        <w:t xml:space="preserve">Energy consumption and any direct process emissions at xevezenfsf\'s production facility in China.</w:t>
      </w:r>
    </w:p>
    <w:p>
      <w:pPr>
        <w:numPr>
          <w:ilvl w:val="0"/>
          <w:numId w:val="1003"/>
        </w:numPr>
        <w:pStyle w:val="Compact"/>
      </w:pPr>
      <w:r>
        <w:rPr>
          <w:bCs/>
          <w:b/>
        </w:rPr>
        <w:t xml:space="preserve">Upstream Transportation (Upstream - Scope 3, Category 4: Upstream Transportation and Distribution):</w:t>
      </w:r>
      <w:r>
        <w:t xml:space="preserve"> </w:t>
      </w:r>
      <w:r>
        <w:t xml:space="preserve">Transport of raw materials and components from suppliers (Europe Focused) to the manufacturing facility in China.</w:t>
      </w:r>
    </w:p>
    <w:p>
      <w:pPr>
        <w:numPr>
          <w:ilvl w:val="0"/>
          <w:numId w:val="1003"/>
        </w:numPr>
        <w:pStyle w:val="Compact"/>
      </w:pPr>
      <w:r>
        <w:rPr>
          <w:bCs/>
          <w:b/>
        </w:rPr>
        <w:t xml:space="preserve">Distribution &amp; Last-Mile Delivery (Downstream - Scope 3, Category 4 &amp; 9: Upstream and Downstream Transportation and Distribution):</w:t>
      </w:r>
      <w:r>
        <w:t xml:space="preserve"> </w:t>
      </w:r>
      <w:r>
        <w:t xml:space="preserve">Transport of the finished product from the factory to the customer, including last-mile delivery.</w:t>
      </w:r>
    </w:p>
    <w:p>
      <w:pPr>
        <w:numPr>
          <w:ilvl w:val="0"/>
          <w:numId w:val="1003"/>
        </w:numPr>
        <w:pStyle w:val="Compact"/>
      </w:pPr>
      <w:r>
        <w:rPr>
          <w:bCs/>
          <w:b/>
        </w:rPr>
        <w:t xml:space="preserve">Use Phase (Downstream - Scope 3, Category 11: Use of Sold Products):</w:t>
      </w:r>
      <w:r>
        <w:t xml:space="preserve"> </w:t>
      </w:r>
      <w:r>
        <w:t xml:space="preserve">Energy consumption and any other relevant emissions during the product\'s lifespan.</w:t>
      </w:r>
    </w:p>
    <w:p>
      <w:pPr>
        <w:numPr>
          <w:ilvl w:val="0"/>
          <w:numId w:val="1003"/>
        </w:numPr>
        <w:pStyle w:val="Compact"/>
      </w:pPr>
      <w:r>
        <w:rPr>
          <w:bCs/>
          <w:b/>
        </w:rPr>
        <w:t xml:space="preserve">End-of-Life (Downstream - Scope 3, Category 12: End-of-Life Treatment of Sold Products):</w:t>
      </w:r>
      <w:r>
        <w:t xml:space="preserve"> </w:t>
      </w:r>
      <w:r>
        <w:t xml:space="preserve">Disposal or recycling of the product at the end of its useful life.</w:t>
      </w:r>
    </w:p>
    <w:bookmarkEnd w:id="29"/>
    <w:bookmarkStart w:id="32" w:name="data-collection-primary-secondary-data"/>
    <w:p>
      <w:pPr>
        <w:pStyle w:val="Heading3"/>
      </w:pPr>
      <w:r>
        <w:t xml:space="preserve">2.2. Data Collection (Primary &amp; Secondary Data)</w:t>
      </w:r>
    </w:p>
    <w:p>
      <w:pPr>
        <w:pStyle w:val="FirstParagraph"/>
      </w:pPr>
      <w:r>
        <w:t xml:space="preserve">The following data points were collected and utilized for the analysis:</w:t>
      </w:r>
    </w:p>
    <w:bookmarkStart w:id="30" w:name="detailed-bill-of-materials-bom-hzooeupu"/>
    <w:p>
      <w:pPr>
        <w:pStyle w:val="Heading4"/>
      </w:pPr>
      <w:r>
        <w:t xml:space="preserve">2.2.1. Detailed Bill of Materials (BOM): hzooeupu</w:t>
      </w:r>
    </w:p>
    <w:p>
      <w:pPr>
        <w:pStyle w:val="FirstParagraph"/>
      </w:pPr>
      <w:r>
        <w:t xml:space="preserve">The provided BOM data for "toinlnekus" is crucial for calculating the material impact. The format is ID, Description, Category, Process, Qty, Unit, Emission Factor, Total Carbon. The \'Total Carbon\' value for each item is directly used as its pre-calculated carbon impact, and these are summed to determine the overall material footprint.</w:t>
      </w:r>
    </w:p>
    <w:p>
      <w:pPr>
        <w:pStyle w:val="SourceCode"/>
      </w:pPr>
      <w:r>
        <w:rPr>
          <w:rStyle w:val="VerbatimChar"/>
        </w:rPr>
        <w:t xml:space="preserve">ID,Description,Category,Process,Qty,Unit,Emission Factor,Total Carbon</w:t>
      </w:r>
      <w:r>
        <w:br/>
      </w:r>
      <w:r>
        <w:rPr>
          <w:rStyle w:val="VerbatimChar"/>
        </w:rPr>
        <w:t xml:space="preserve">1,Plastic Casing,Plastics,Injection Molding,0.5,kg,2.5,1.25;2,Copper Wire,Metals,Drawing,0.1,kg,8.0,0.8;3,Circuit Board,Electronics,Assembly,0.05,unit,15.0,0.75</w:t>
      </w:r>
    </w:p>
    <w:p>
      <w:pPr>
        <w:pStyle w:val="FirstParagraph"/>
      </w:pPr>
      <w:r>
        <w:rPr>
          <w:iCs/>
          <w:i/>
        </w:rPr>
        <w:t xml:space="preserve">Note: The Emission Factor column in the provided BOM is for reference. The "Total Carbon" value per item is explicitly used for calculation as per instructions.</w:t>
      </w:r>
    </w:p>
    <w:bookmarkEnd w:id="30"/>
    <w:bookmarkStart w:id="31" w:name="material-inputs-breakdown"/>
    <w:p>
      <w:pPr>
        <w:pStyle w:val="Heading4"/>
      </w:pPr>
      <w:r>
        <w:t xml:space="preserve">2.2.2. Material Inputs Breakdown</w:t>
      </w:r>
    </w:p>
    <w:p>
      <w:pPr>
        <w:pStyle w:val="FirstParagraph"/>
      </w:pPr>
      <w:r>
        <w:t xml:space="preserve">ID</w:t>
      </w:r>
    </w:p>
    <w:bookmarkEnd w:id="31"/>
    <w:bookmarkEnd w:id="32"/>
    <w:bookmarkEnd w:id="33"/>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 (Qty)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rPr>
          <w:bCs/>
          <w:b/>
        </w:rPr>
        <w:t xml:space="preserve">Estimated Total Product Mass per unit:</w:t>
      </w:r>
      <w:r>
        <w:t xml:space="preserve"> </w:t>
      </w:r>
      <w:r>
        <w:t xml:space="preserve">kg (This value is an aggregation of \'kg\' units and an illustrative conversion for \'unit\' items, used for transport calculations).</w:t>
      </w:r>
    </w:p>
    <w:bookmarkStart w:id="34" w:name="energy-inputs-manufacturing-phase"/>
    <w:p>
      <w:pPr>
        <w:pStyle w:val="Heading4"/>
      </w:pPr>
      <w:r>
        <w:t xml:space="preserve">2.2.3. Energy Inputs (Manufacturing Phase)</w:t>
      </w:r>
    </w:p>
    <w:p>
      <w:pPr>
        <w:numPr>
          <w:ilvl w:val="0"/>
          <w:numId w:val="1004"/>
        </w:numPr>
        <w:pStyle w:val="Compact"/>
      </w:pPr>
      <w:r>
        <w:rPr>
          <w:bCs/>
          <w:b/>
        </w:rPr>
        <w:t xml:space="preserve">Energy Intensity (kWh/unit):</w:t>
      </w:r>
    </w:p>
    <w:p>
      <w:pPr>
        <w:numPr>
          <w:ilvl w:val="0"/>
          <w:numId w:val="1000"/>
        </w:numPr>
        <w:pStyle w:val="Compact"/>
      </w:pPr>
      <w:r>
        <w:t xml:space="preserve">kWh/unit</w:t>
      </w:r>
    </w:p>
    <w:p>
      <w:pPr>
        <w:numPr>
          <w:ilvl w:val="0"/>
          <w:numId w:val="1004"/>
        </w:numPr>
        <w:pStyle w:val="Compact"/>
      </w:pPr>
      <w:r>
        <w:rPr>
          <w:bCs/>
          <w:b/>
        </w:rPr>
        <w:t xml:space="preserve">Renewable Energy Usage:</w:t>
      </w:r>
    </w:p>
    <w:p>
      <w:pPr>
        <w:numPr>
          <w:ilvl w:val="0"/>
          <w:numId w:val="1000"/>
        </w:numPr>
        <w:pStyle w:val="Compact"/>
      </w:pPr>
      <w:r>
        <w:t xml:space="preserve">%</w:t>
      </w:r>
    </w:p>
    <w:bookmarkEnd w:id="34"/>
    <w:bookmarkStart w:id="35" w:name="logistics-data"/>
    <w:p>
      <w:pPr>
        <w:pStyle w:val="Heading4"/>
      </w:pPr>
      <w:r>
        <w:t xml:space="preserve">2.2.4. Logistics Data</w:t>
      </w:r>
    </w:p>
    <w:p>
      <w:pPr>
        <w:numPr>
          <w:ilvl w:val="0"/>
          <w:numId w:val="1005"/>
        </w:numPr>
        <w:pStyle w:val="Compact"/>
      </w:pPr>
      <w:r>
        <w:rPr>
          <w:bCs/>
          <w:b/>
        </w:rPr>
        <w:t xml:space="preserve">Transport Mode:</w:t>
      </w:r>
    </w:p>
    <w:p>
      <w:pPr>
        <w:numPr>
          <w:ilvl w:val="0"/>
          <w:numId w:val="1000"/>
        </w:numPr>
        <w:pStyle w:val="Compact"/>
      </w:pPr>
      <w:r>
        <w:t xml:space="preserve">(Assumed Road Freight (Heavy Goods Vehicle) for primary transport between regions)</w:t>
      </w:r>
    </w:p>
    <w:p>
      <w:pPr>
        <w:numPr>
          <w:ilvl w:val="0"/>
          <w:numId w:val="1005"/>
        </w:numPr>
        <w:pStyle w:val="Compact"/>
      </w:pPr>
      <w:r>
        <w:rPr>
          <w:bCs/>
          <w:b/>
        </w:rPr>
        <w:t xml:space="preserve">Transport Distance:</w:t>
      </w:r>
    </w:p>
    <w:p>
      <w:pPr>
        <w:numPr>
          <w:ilvl w:val="0"/>
          <w:numId w:val="1000"/>
        </w:numPr>
        <w:pStyle w:val="Compact"/>
      </w:pPr>
      <w:r>
        <w:t xml:space="preserve">km (interpreted as</w:t>
      </w:r>
    </w:p>
    <w:p>
      <w:pPr>
        <w:numPr>
          <w:ilvl w:val="0"/>
          <w:numId w:val="1000"/>
        </w:numPr>
        <w:pStyle w:val="Compact"/>
      </w:pPr>
      <w:r>
        <w:t xml:space="preserve">km for calculations)</w:t>
      </w:r>
    </w:p>
    <w:p>
      <w:pPr>
        <w:numPr>
          <w:ilvl w:val="0"/>
          <w:numId w:val="1005"/>
        </w:numPr>
        <w:pStyle w:val="Compact"/>
      </w:pPr>
      <w:r>
        <w:rPr>
          <w:bCs/>
          <w:b/>
        </w:rPr>
        <w:t xml:space="preserve">Last-Mile Delivery Channel:</w:t>
      </w:r>
    </w:p>
    <w:p>
      <w:pPr>
        <w:numPr>
          <w:ilvl w:val="0"/>
          <w:numId w:val="1000"/>
        </w:numPr>
        <w:pStyle w:val="Compact"/>
      </w:pPr>
      <w:r>
        <w:t xml:space="preserve">(Assumed Parcel Delivery Service)</w:t>
      </w:r>
    </w:p>
    <w:bookmarkEnd w:id="35"/>
    <w:bookmarkStart w:id="36" w:name="use-phase-data"/>
    <w:p>
      <w:pPr>
        <w:pStyle w:val="Heading4"/>
      </w:pPr>
      <w:r>
        <w:t xml:space="preserve">2.2.5. Use Phase Data</w:t>
      </w:r>
    </w:p>
    <w:p>
      <w:pPr>
        <w:numPr>
          <w:ilvl w:val="0"/>
          <w:numId w:val="1006"/>
        </w:numPr>
        <w:pStyle w:val="Compact"/>
      </w:pPr>
      <w:r>
        <w:rPr>
          <w:bCs/>
          <w:b/>
        </w:rPr>
        <w:t xml:space="preserve">Product Lifespan:</w:t>
      </w:r>
    </w:p>
    <w:p>
      <w:pPr>
        <w:numPr>
          <w:ilvl w:val="0"/>
          <w:numId w:val="1000"/>
        </w:numPr>
        <w:pStyle w:val="Compact"/>
      </w:pPr>
      <w:r>
        <w:t xml:space="preserve">years (interpreted as</w:t>
      </w:r>
    </w:p>
    <w:p>
      <w:pPr>
        <w:numPr>
          <w:ilvl w:val="0"/>
          <w:numId w:val="1000"/>
        </w:numPr>
        <w:pStyle w:val="Compact"/>
      </w:pPr>
      <w:r>
        <w:t xml:space="preserve">years for calculations)</w:t>
      </w:r>
    </w:p>
    <w:p>
      <w:pPr>
        <w:numPr>
          <w:ilvl w:val="0"/>
          <w:numId w:val="1006"/>
        </w:numPr>
        <w:pStyle w:val="Compact"/>
      </w:pPr>
      <w:r>
        <w:rPr>
          <w:bCs/>
          <w:b/>
        </w:rPr>
        <w:t xml:space="preserve">Energy Consumption in Use:</w:t>
      </w:r>
    </w:p>
    <w:p>
      <w:pPr>
        <w:numPr>
          <w:ilvl w:val="0"/>
          <w:numId w:val="1000"/>
        </w:numPr>
        <w:pStyle w:val="Compact"/>
      </w:pPr>
      <w:r>
        <w:t xml:space="preserve">kWh/year (interpreted as</w:t>
      </w:r>
    </w:p>
    <w:p>
      <w:pPr>
        <w:numPr>
          <w:ilvl w:val="0"/>
          <w:numId w:val="1000"/>
        </w:numPr>
        <w:pStyle w:val="Compact"/>
      </w:pPr>
      <w:r>
        <w:t xml:space="preserve">kWh/year for calculations)</w:t>
      </w:r>
    </w:p>
    <w:bookmarkEnd w:id="36"/>
    <w:bookmarkStart w:id="37" w:name="end-of-life-eol-data"/>
    <w:p>
      <w:pPr>
        <w:pStyle w:val="Heading4"/>
      </w:pPr>
      <w:r>
        <w:t xml:space="preserve">2.2.6. End-of-Life (EoL) Data</w:t>
      </w:r>
    </w:p>
    <w:p>
      <w:pPr>
        <w:numPr>
          <w:ilvl w:val="0"/>
          <w:numId w:val="1007"/>
        </w:numPr>
        <w:pStyle w:val="Compact"/>
      </w:pPr>
      <w:r>
        <w:rPr>
          <w:bCs/>
          <w:b/>
        </w:rPr>
        <w:t xml:space="preserve">Recyclability Percentage:</w:t>
      </w:r>
    </w:p>
    <w:p>
      <w:pPr>
        <w:numPr>
          <w:ilvl w:val="0"/>
          <w:numId w:val="1000"/>
        </w:numPr>
        <w:pStyle w:val="Compact"/>
      </w:pPr>
      <w:r>
        <w:t xml:space="preserve">% (interpreted as</w:t>
      </w:r>
    </w:p>
    <w:p>
      <w:pPr>
        <w:numPr>
          <w:ilvl w:val="0"/>
          <w:numId w:val="1000"/>
        </w:numPr>
        <w:pStyle w:val="Compact"/>
      </w:pPr>
      <w:r>
        <w:t xml:space="preserve">% for calculations)</w:t>
      </w:r>
    </w:p>
    <w:p>
      <w:pPr>
        <w:numPr>
          <w:ilvl w:val="0"/>
          <w:numId w:val="1007"/>
        </w:numPr>
        <w:pStyle w:val="Compact"/>
      </w:pPr>
      <w:r>
        <w:rPr>
          <w:bCs/>
          <w:b/>
        </w:rPr>
        <w:t xml:space="preserve">Circular/Take-back Programs:</w:t>
      </w:r>
    </w:p>
    <w:bookmarkEnd w:id="37"/>
    <w:bookmarkStart w:id="38" w:name="emission-factors-secondary-data"/>
    <w:p>
      <w:pPr>
        <w:pStyle w:val="Heading4"/>
      </w:pPr>
      <w:r>
        <w:t xml:space="preserve">2.2.7. Emission Factors (Secondary Data)</w:t>
      </w:r>
    </w:p>
    <w:p>
      <w:pPr>
        <w:pStyle w:val="FirstParagraph"/>
      </w:pPr>
      <w:r>
        <w:t xml:space="preserve">Industry-standard emission factors are applied, primarily from reputable sources such as Ecoinvent, DEFRA, and recognized databases. Specific factors used (illustrative where primary data is absent):</w:t>
      </w:r>
    </w:p>
    <w:p>
      <w:pPr>
        <w:numPr>
          <w:ilvl w:val="0"/>
          <w:numId w:val="1008"/>
        </w:numPr>
        <w:pStyle w:val="Compact"/>
      </w:pPr>
      <w:r>
        <w:rPr>
          <w:bCs/>
          <w:b/>
        </w:rPr>
        <w:t xml:space="preserve">Electricity (China Grid Mix):</w:t>
      </w:r>
      <w:r>
        <w:t xml:space="preserve"> </w:t>
      </w:r>
      <w:r>
        <w:t xml:space="preserve">0.557 kg CO2e/kWh (approximation of MEE 2021 average, including CO2e)</w:t>
      </w:r>
    </w:p>
    <w:p>
      <w:pPr>
        <w:numPr>
          <w:ilvl w:val="0"/>
          <w:numId w:val="1008"/>
        </w:numPr>
        <w:pStyle w:val="Compact"/>
      </w:pPr>
      <w:r>
        <w:rPr>
          <w:bCs/>
          <w:b/>
        </w:rPr>
        <w:t xml:space="preserve">Road Freight (Heavy Goods Vehicle):</w:t>
      </w:r>
      <w:r>
        <w:t xml:space="preserve"> </w:t>
      </w:r>
      <w:r>
        <w:t xml:space="preserve">0.1 kg CO2e/tonne-km</w:t>
      </w:r>
    </w:p>
    <w:p>
      <w:pPr>
        <w:numPr>
          <w:ilvl w:val="0"/>
          <w:numId w:val="1008"/>
        </w:numPr>
        <w:pStyle w:val="Compact"/>
      </w:pPr>
      <w:r>
        <w:rPr>
          <w:bCs/>
          <w:b/>
        </w:rPr>
        <w:t xml:space="preserve">Last-Mile Parcel Delivery:</w:t>
      </w:r>
      <w:r>
        <w:t xml:space="preserve"> </w:t>
      </w:r>
      <w:r>
        <w:t xml:space="preserve">0.000105 kg CO2e/kg-km (derived from 0.21 kg CO2e/2kg package/1000km)</w:t>
      </w:r>
    </w:p>
    <w:p>
      <w:pPr>
        <w:numPr>
          <w:ilvl w:val="0"/>
          <w:numId w:val="1008"/>
        </w:numPr>
        <w:pStyle w:val="Compact"/>
      </w:pPr>
      <w:r>
        <w:rPr>
          <w:bCs/>
          <w:b/>
        </w:rPr>
        <w:t xml:space="preserve">Landfill (Mixed Waste):</w:t>
      </w:r>
      <w:r>
        <w:t xml:space="preserve"> </w:t>
      </w:r>
      <w:r>
        <w:t xml:space="preserve">0.75 kg CO2e/kg</w:t>
      </w:r>
    </w:p>
    <w:p>
      <w:pPr>
        <w:numPr>
          <w:ilvl w:val="0"/>
          <w:numId w:val="1008"/>
        </w:numPr>
        <w:pStyle w:val="Compact"/>
      </w:pPr>
      <w:r>
        <w:rPr>
          <w:bCs/>
          <w:b/>
        </w:rPr>
        <w:t xml:space="preserve">Recycling Credit (Mixed Materials):</w:t>
      </w:r>
      <w:r>
        <w:t xml:space="preserve"> </w:t>
      </w:r>
      <w:r>
        <w:t xml:space="preserve">-0.5 kg CO2e/kg (illustrative avoided emissions, reflecting avoided virgin material production)</w:t>
      </w:r>
    </w:p>
    <w:p>
      <w:pPr>
        <w:pStyle w:val="FirstParagraph"/>
      </w:pPr>
      <w:r>
        <w:rPr>
          <w:bCs/>
          <w:b/>
        </w:rPr>
        <w:t xml:space="preserve">Note on Scope 3 Coverage:</w:t>
      </w:r>
      <w:r>
        <w:t xml:space="preserve"> </w:t>
      </w:r>
      <w:r>
        <w:t xml:space="preserve">With the detailed BOM, specified energy, transport, use-phase, and EoL data, this analysis aims for comprehensive Scope 3 coverage, targeting the 95% requirement for 2026 reporting.</w:t>
      </w:r>
    </w:p>
    <w:p>
      <w:r>
        <w:pict>
          <v:rect style="width:0;height:1.5pt" o:hralign="center" o:hrstd="t" o:hr="t"/>
        </w:pict>
      </w:r>
    </w:p>
    <w:bookmarkEnd w:id="38"/>
    <w:bookmarkStart w:id="49" w:name="Xd4b0c0c2ce30734045a8ed64c48b37b2f75b274"/>
    <w:p>
      <w:pPr>
        <w:pStyle w:val="Heading2"/>
      </w:pPr>
      <w:r>
        <w:t xml:space="preserve">3. Emission Calculations and GHG Protocol Categorization</w:t>
      </w:r>
    </w:p>
    <w:p>
      <w:pPr>
        <w:pStyle w:val="FirstParagraph"/>
      </w:pPr>
      <w:r>
        <w:t xml:space="preserve">Emissions are calculated using the formula: Activity Data × Emission Factor = CO2e. The results are then categorized according to the GHG Protocol\'s Scope 1, 2, and 3 definitions.</w:t>
      </w:r>
    </w:p>
    <w:p>
      <w:pPr>
        <w:pStyle w:val="BodyText"/>
      </w:pPr>
      <w:r>
        <w:t xml:space="preserve">For the product \'toinlnekus\', we will now perform the calculations based on the provided parameters and their numerical interpretations.</w:t>
      </w:r>
    </w:p>
    <w:bookmarkStart w:id="39" w:name="X1ad9a0c33edfd883cba8e7eb5d0853356860b8a"/>
    <w:p>
      <w:pPr>
        <w:pStyle w:val="Heading3"/>
      </w:pPr>
      <w:r>
        <w:t xml:space="preserve">3.1. Material Acquisition &amp; Pre-processing (Scope 3, Category 1)</w:t>
      </w:r>
    </w:p>
    <w:p>
      <w:pPr>
        <w:pStyle w:val="FirstParagraph"/>
      </w:pPr>
      <w:r>
        <w:t xml:space="preserve">Based on the Detailed Bill of Materials (BOM) \'hzooeupu\':</w:t>
      </w:r>
    </w:p>
    <w:p>
      <w:pPr>
        <w:pStyle w:val="BodyText"/>
      </w:pPr>
      <w:r>
        <w:rPr>
          <w:bCs/>
          <w:b/>
        </w:rPr>
        <w:t xml:space="preserve">Total Material Emissions (Scope 3, Category 1):</w:t>
      </w:r>
      <w:r>
        <w:t xml:space="preserve"> </w:t>
      </w:r>
      <w:r>
        <w:t xml:space="preserve">kg CO2e per unit of toinlnekus.</w:t>
      </w:r>
    </w:p>
    <w:bookmarkEnd w:id="39"/>
    <w:bookmarkStart w:id="40" w:name="manufacturing-phase-scope-2"/>
    <w:p>
      <w:pPr>
        <w:pStyle w:val="Heading3"/>
      </w:pPr>
      <w:r>
        <w:t xml:space="preserve">3.2. Manufacturing Phase (Scope 2)</w:t>
      </w:r>
    </w:p>
    <w:p>
      <w:pPr>
        <w:numPr>
          <w:ilvl w:val="0"/>
          <w:numId w:val="1009"/>
        </w:numPr>
        <w:pStyle w:val="Compact"/>
      </w:pPr>
      <w:r>
        <w:t xml:space="preserve">Energy Intensity:</w:t>
      </w:r>
    </w:p>
    <w:p>
      <w:pPr>
        <w:numPr>
          <w:ilvl w:val="0"/>
          <w:numId w:val="1000"/>
        </w:numPr>
        <w:pStyle w:val="Compact"/>
      </w:pPr>
      <w:r>
        <w:t xml:space="preserve">kWh/unit</w:t>
      </w:r>
    </w:p>
    <w:p>
      <w:pPr>
        <w:numPr>
          <w:ilvl w:val="0"/>
          <w:numId w:val="1009"/>
        </w:numPr>
        <w:pStyle w:val="Compact"/>
      </w:pPr>
      <w:r>
        <w:t xml:space="preserve">Renewable Energy Usage:</w:t>
      </w:r>
    </w:p>
    <w:p>
      <w:pPr>
        <w:numPr>
          <w:ilvl w:val="0"/>
          <w:numId w:val="1000"/>
        </w:numPr>
        <w:pStyle w:val="Compact"/>
      </w:pPr>
      <w:r>
        <w:t xml:space="preserve">%</w:t>
      </w:r>
    </w:p>
    <w:p>
      <w:pPr>
        <w:numPr>
          <w:ilvl w:val="0"/>
          <w:numId w:val="1009"/>
        </w:numPr>
        <w:pStyle w:val="Compact"/>
      </w:pPr>
      <w:r>
        <w:t xml:space="preserve">Non-Renewable Energy Consumption:</w:t>
      </w:r>
    </w:p>
    <w:p>
      <w:pPr>
        <w:numPr>
          <w:ilvl w:val="0"/>
          <w:numId w:val="1000"/>
        </w:numPr>
        <w:pStyle w:val="Compact"/>
      </w:pPr>
      <w:r>
        <w:t xml:space="preserve">kWh/unit</w:t>
      </w:r>
    </w:p>
    <w:p>
      <w:pPr>
        <w:numPr>
          <w:ilvl w:val="0"/>
          <w:numId w:val="1009"/>
        </w:numPr>
        <w:pStyle w:val="Compact"/>
      </w:pPr>
      <w:r>
        <w:t xml:space="preserve">China Grid Emission Factor:</w:t>
      </w:r>
    </w:p>
    <w:p>
      <w:pPr>
        <w:numPr>
          <w:ilvl w:val="0"/>
          <w:numId w:val="1000"/>
        </w:numPr>
        <w:pStyle w:val="Compact"/>
      </w:pPr>
      <w:r>
        <w:t xml:space="preserve">kg CO2e/kWh</w:t>
      </w:r>
    </w:p>
    <w:p>
      <w:pPr>
        <w:pStyle w:val="FirstParagraph"/>
      </w:pPr>
      <w:r>
        <w:rPr>
          <w:bCs/>
          <w:b/>
        </w:rPr>
        <w:t xml:space="preserve">Manufacturing Emissions (Scope 2):</w:t>
      </w:r>
      <w:r>
        <w:t xml:space="preserve"> </w:t>
      </w:r>
      <w:r>
        <w:t xml:space="preserve">kg CO2e per unit of toinlnekus.</w:t>
      </w:r>
    </w:p>
    <w:bookmarkEnd w:id="40"/>
    <w:bookmarkStart w:id="43" w:name="transportation-scope-3-category-4-9"/>
    <w:p>
      <w:pPr>
        <w:pStyle w:val="Heading3"/>
      </w:pPr>
      <w:r>
        <w:t xml:space="preserve">3.3. Transportation (Scope 3, Category 4 &amp; 9)</w:t>
      </w:r>
    </w:p>
    <w:bookmarkStart w:id="41" w:name="upstream-transportation-raw-materials"/>
    <w:p>
      <w:pPr>
        <w:pStyle w:val="Heading4"/>
      </w:pPr>
      <w:r>
        <w:t xml:space="preserve">3.3.1. Upstream Transportation (Raw Materials)</w:t>
      </w:r>
    </w:p>
    <w:p>
      <w:pPr>
        <w:numPr>
          <w:ilvl w:val="0"/>
          <w:numId w:val="1010"/>
        </w:numPr>
        <w:pStyle w:val="Compact"/>
      </w:pPr>
      <w:r>
        <w:t xml:space="preserve">Transport Mode:</w:t>
      </w:r>
    </w:p>
    <w:p>
      <w:pPr>
        <w:numPr>
          <w:ilvl w:val="0"/>
          <w:numId w:val="1000"/>
        </w:numPr>
        <w:pStyle w:val="Compact"/>
      </w:pPr>
      <w:r>
        <w:t xml:space="preserve">(Assumed Road Freight (Heavy Goods Vehicle))</w:t>
      </w:r>
    </w:p>
    <w:p>
      <w:pPr>
        <w:numPr>
          <w:ilvl w:val="0"/>
          <w:numId w:val="1010"/>
        </w:numPr>
        <w:pStyle w:val="Compact"/>
      </w:pPr>
      <w:r>
        <w:t xml:space="preserve">Transport Distance (interpreted from \'qswmohngpi\'):</w:t>
      </w:r>
    </w:p>
    <w:p>
      <w:pPr>
        <w:numPr>
          <w:ilvl w:val="0"/>
          <w:numId w:val="1000"/>
        </w:numPr>
        <w:pStyle w:val="Compact"/>
      </w:pPr>
      <w:r>
        <w:t xml:space="preserve">km</w:t>
      </w:r>
    </w:p>
    <w:p>
      <w:pPr>
        <w:numPr>
          <w:ilvl w:val="0"/>
          <w:numId w:val="1010"/>
        </w:numPr>
        <w:pStyle w:val="Compact"/>
      </w:pPr>
      <w:r>
        <w:t xml:space="preserve">Product Mass per unit:</w:t>
      </w:r>
    </w:p>
    <w:p>
      <w:pPr>
        <w:numPr>
          <w:ilvl w:val="0"/>
          <w:numId w:val="1000"/>
        </w:numPr>
        <w:pStyle w:val="Compact"/>
      </w:pPr>
      <w:r>
        <w:t xml:space="preserve">tonnes</w:t>
      </w:r>
    </w:p>
    <w:p>
      <w:pPr>
        <w:numPr>
          <w:ilvl w:val="0"/>
          <w:numId w:val="1010"/>
        </w:numPr>
        <w:pStyle w:val="Compact"/>
      </w:pPr>
      <w:r>
        <w:t xml:space="preserve">Emission Factor:</w:t>
      </w:r>
    </w:p>
    <w:p>
      <w:pPr>
        <w:numPr>
          <w:ilvl w:val="0"/>
          <w:numId w:val="1000"/>
        </w:numPr>
        <w:pStyle w:val="Compact"/>
      </w:pPr>
      <w:r>
        <w:t xml:space="preserve">kg CO2e/tonne-km</w:t>
      </w:r>
    </w:p>
    <w:p>
      <w:pPr>
        <w:pStyle w:val="FirstParagraph"/>
      </w:pPr>
      <w:r>
        <w:rPr>
          <w:bCs/>
          <w:b/>
        </w:rPr>
        <w:t xml:space="preserve">Upstream Transport Emissions (Scope 3, Category 4):</w:t>
      </w:r>
      <w:r>
        <w:t xml:space="preserve"> </w:t>
      </w:r>
      <w:r>
        <w:t xml:space="preserve">kg CO2e per unit.</w:t>
      </w:r>
    </w:p>
    <w:bookmarkEnd w:id="41"/>
    <w:bookmarkStart w:id="42" w:name="Xe645f3c959046730aa6f0431de1b211b3ca34cf"/>
    <w:p>
      <w:pPr>
        <w:pStyle w:val="Heading4"/>
      </w:pPr>
      <w:r>
        <w:t xml:space="preserve">3.3.2. Downstream Transportation &amp; Last-Mile Delivery (Finished Product)</w:t>
      </w:r>
    </w:p>
    <w:p>
      <w:pPr>
        <w:numPr>
          <w:ilvl w:val="0"/>
          <w:numId w:val="1011"/>
        </w:numPr>
        <w:pStyle w:val="Compact"/>
      </w:pPr>
      <w:r>
        <w:t xml:space="preserve">Transport Mode:</w:t>
      </w:r>
    </w:p>
    <w:p>
      <w:pPr>
        <w:numPr>
          <w:ilvl w:val="0"/>
          <w:numId w:val="1000"/>
        </w:numPr>
        <w:pStyle w:val="Compact"/>
      </w:pPr>
      <w:r>
        <w:t xml:space="preserve">(Assumed Road Freight (Heavy Goods Vehicle))</w:t>
      </w:r>
    </w:p>
    <w:p>
      <w:pPr>
        <w:numPr>
          <w:ilvl w:val="0"/>
          <w:numId w:val="1011"/>
        </w:numPr>
        <w:pStyle w:val="Compact"/>
      </w:pPr>
      <w:r>
        <w:t xml:space="preserve">Transport Distance (interpreted from \'qswmohngpi\'):</w:t>
      </w:r>
    </w:p>
    <w:p>
      <w:pPr>
        <w:numPr>
          <w:ilvl w:val="0"/>
          <w:numId w:val="1000"/>
        </w:numPr>
        <w:pStyle w:val="Compact"/>
      </w:pPr>
      <w:r>
        <w:t xml:space="preserve">km</w:t>
      </w:r>
    </w:p>
    <w:p>
      <w:pPr>
        <w:numPr>
          <w:ilvl w:val="0"/>
          <w:numId w:val="1011"/>
        </w:numPr>
        <w:pStyle w:val="Compact"/>
      </w:pPr>
      <w:r>
        <w:t xml:space="preserve">Last-Mile Delivery Channel:</w:t>
      </w:r>
    </w:p>
    <w:p>
      <w:pPr>
        <w:numPr>
          <w:ilvl w:val="0"/>
          <w:numId w:val="1000"/>
        </w:numPr>
        <w:pStyle w:val="Compact"/>
      </w:pPr>
      <w:r>
        <w:t xml:space="preserve">(Assumed Parcel Service)</w:t>
      </w:r>
    </w:p>
    <w:p>
      <w:pPr>
        <w:numPr>
          <w:ilvl w:val="0"/>
          <w:numId w:val="1011"/>
        </w:numPr>
        <w:pStyle w:val="Compact"/>
      </w:pPr>
      <w:r>
        <w:t xml:space="preserve">Last-Mile Distance (illustrative):</w:t>
      </w:r>
    </w:p>
    <w:p>
      <w:pPr>
        <w:numPr>
          <w:ilvl w:val="0"/>
          <w:numId w:val="1000"/>
        </w:numPr>
        <w:pStyle w:val="Compact"/>
      </w:pPr>
      <w:r>
        <w:t xml:space="preserve">km</w:t>
      </w:r>
    </w:p>
    <w:p>
      <w:pPr>
        <w:numPr>
          <w:ilvl w:val="0"/>
          <w:numId w:val="1011"/>
        </w:numPr>
        <w:pStyle w:val="Compact"/>
      </w:pPr>
      <w:r>
        <w:t xml:space="preserve">Emission Factor (Road Freight):</w:t>
      </w:r>
    </w:p>
    <w:p>
      <w:pPr>
        <w:numPr>
          <w:ilvl w:val="0"/>
          <w:numId w:val="1000"/>
        </w:numPr>
        <w:pStyle w:val="Compact"/>
      </w:pPr>
      <w:r>
        <w:t xml:space="preserve">kg CO2e/tonne-km</w:t>
      </w:r>
    </w:p>
    <w:p>
      <w:pPr>
        <w:numPr>
          <w:ilvl w:val="0"/>
          <w:numId w:val="1011"/>
        </w:numPr>
        <w:pStyle w:val="Compact"/>
      </w:pPr>
      <w:r>
        <w:t xml:space="preserve">Emission Factor (Parcel Delivery):</w:t>
      </w:r>
    </w:p>
    <w:p>
      <w:pPr>
        <w:numPr>
          <w:ilvl w:val="0"/>
          <w:numId w:val="1000"/>
        </w:numPr>
        <w:pStyle w:val="Compact"/>
      </w:pPr>
      <w:r>
        <w:t xml:space="preserve">kg CO2e/kg-km</w:t>
      </w:r>
    </w:p>
    <w:p>
      <w:pPr>
        <w:pStyle w:val="FirstParagraph"/>
      </w:pPr>
      <w:r>
        <w:rPr>
          <w:bCs/>
          <w:b/>
        </w:rPr>
        <w:t xml:space="preserve">Downstream Transport Emissions (Scope 3, Category 9):</w:t>
      </w:r>
      <w:r>
        <w:t xml:space="preserve"> </w:t>
      </w:r>
      <w:r>
        <w:t xml:space="preserve">kg CO2e per unit.</w:t>
      </w:r>
    </w:p>
    <w:bookmarkEnd w:id="42"/>
    <w:bookmarkEnd w:id="43"/>
    <w:bookmarkStart w:id="44" w:name="use-phase-scope-3-category-11"/>
    <w:p>
      <w:pPr>
        <w:pStyle w:val="Heading3"/>
      </w:pPr>
      <w:r>
        <w:t xml:space="preserve">3.4. Use Phase (Scope 3, Category 11)</w:t>
      </w:r>
    </w:p>
    <w:p>
      <w:pPr>
        <w:numPr>
          <w:ilvl w:val="0"/>
          <w:numId w:val="1012"/>
        </w:numPr>
        <w:pStyle w:val="Compact"/>
      </w:pPr>
      <w:r>
        <w:t xml:space="preserve">Product Lifespan (interpreted from \'zyffpyhnqu\'):</w:t>
      </w:r>
    </w:p>
    <w:p>
      <w:pPr>
        <w:numPr>
          <w:ilvl w:val="0"/>
          <w:numId w:val="1000"/>
        </w:numPr>
        <w:pStyle w:val="Compact"/>
      </w:pPr>
      <w:r>
        <w:t xml:space="preserve">years</w:t>
      </w:r>
    </w:p>
    <w:p>
      <w:pPr>
        <w:numPr>
          <w:ilvl w:val="0"/>
          <w:numId w:val="1012"/>
        </w:numPr>
        <w:pStyle w:val="Compact"/>
      </w:pPr>
      <w:r>
        <w:t xml:space="preserve">Energy Consumption in Use (interpreted from \'sgqzjgdfdf\'):</w:t>
      </w:r>
    </w:p>
    <w:p>
      <w:pPr>
        <w:numPr>
          <w:ilvl w:val="0"/>
          <w:numId w:val="1000"/>
        </w:numPr>
        <w:pStyle w:val="Compact"/>
      </w:pPr>
      <w:r>
        <w:t xml:space="preserve">kWh/year</w:t>
      </w:r>
    </w:p>
    <w:p>
      <w:pPr>
        <w:numPr>
          <w:ilvl w:val="0"/>
          <w:numId w:val="1012"/>
        </w:numPr>
        <w:pStyle w:val="Compact"/>
      </w:pPr>
      <w:r>
        <w:t xml:space="preserve">Total Energy Consumption over Lifespan:</w:t>
      </w:r>
    </w:p>
    <w:p>
      <w:pPr>
        <w:numPr>
          <w:ilvl w:val="0"/>
          <w:numId w:val="1000"/>
        </w:numPr>
        <w:pStyle w:val="Compact"/>
      </w:pPr>
      <w:r>
        <w:t xml:space="preserve">kWh</w:t>
      </w:r>
    </w:p>
    <w:p>
      <w:pPr>
        <w:numPr>
          <w:ilvl w:val="0"/>
          <w:numId w:val="1012"/>
        </w:numPr>
        <w:pStyle w:val="Compact"/>
      </w:pPr>
      <w:r>
        <w:t xml:space="preserve">Electricity Emission Factor:</w:t>
      </w:r>
    </w:p>
    <w:p>
      <w:pPr>
        <w:numPr>
          <w:ilvl w:val="0"/>
          <w:numId w:val="1000"/>
        </w:numPr>
        <w:pStyle w:val="Compact"/>
      </w:pPr>
      <w:r>
        <w:t xml:space="preserve">kg CO2e/kWh</w:t>
      </w:r>
    </w:p>
    <w:p>
      <w:pPr>
        <w:pStyle w:val="FirstParagraph"/>
      </w:pPr>
      <w:r>
        <w:rPr>
          <w:bCs/>
          <w:b/>
        </w:rPr>
        <w:t xml:space="preserve">Use Phase Emissions (Scope 3, Category 11):</w:t>
      </w:r>
      <w:r>
        <w:t xml:space="preserve"> </w:t>
      </w:r>
      <w:r>
        <w:t xml:space="preserve">kg CO2e per unit.</w:t>
      </w:r>
    </w:p>
    <w:bookmarkEnd w:id="44"/>
    <w:bookmarkStart w:id="45" w:name="end-of-life-eol-scope-3-category-12"/>
    <w:p>
      <w:pPr>
        <w:pStyle w:val="Heading3"/>
      </w:pPr>
      <w:r>
        <w:t xml:space="preserve">3.5. End-of-Life (EoL) (Scope 3, Category 12)</w:t>
      </w:r>
    </w:p>
    <w:p>
      <w:pPr>
        <w:numPr>
          <w:ilvl w:val="0"/>
          <w:numId w:val="1013"/>
        </w:numPr>
        <w:pStyle w:val="Compact"/>
      </w:pPr>
      <w:r>
        <w:t xml:space="preserve">Total Product Mass:</w:t>
      </w:r>
    </w:p>
    <w:p>
      <w:pPr>
        <w:numPr>
          <w:ilvl w:val="0"/>
          <w:numId w:val="1000"/>
        </w:numPr>
        <w:pStyle w:val="Compact"/>
      </w:pPr>
      <w:r>
        <w:t xml:space="preserve">kg</w:t>
      </w:r>
    </w:p>
    <w:p>
      <w:pPr>
        <w:numPr>
          <w:ilvl w:val="0"/>
          <w:numId w:val="1013"/>
        </w:numPr>
        <w:pStyle w:val="Compact"/>
      </w:pPr>
      <w:r>
        <w:t xml:space="preserve">Recyclability Percentage (interpreted from \'zvkuqtuypk\'):</w:t>
      </w:r>
    </w:p>
    <w:p>
      <w:pPr>
        <w:numPr>
          <w:ilvl w:val="0"/>
          <w:numId w:val="1000"/>
        </w:numPr>
        <w:pStyle w:val="Compact"/>
      </w:pPr>
      <w:r>
        <w:t xml:space="preserve">%</w:t>
      </w:r>
    </w:p>
    <w:p>
      <w:pPr>
        <w:numPr>
          <w:ilvl w:val="0"/>
          <w:numId w:val="1013"/>
        </w:numPr>
        <w:pStyle w:val="Compact"/>
      </w:pPr>
      <w:r>
        <w:t xml:space="preserve">Mass to Landfill:</w:t>
      </w:r>
    </w:p>
    <w:p>
      <w:pPr>
        <w:numPr>
          <w:ilvl w:val="0"/>
          <w:numId w:val="1000"/>
        </w:numPr>
        <w:pStyle w:val="Compact"/>
      </w:pPr>
      <w:r>
        <w:t xml:space="preserve">kg</w:t>
      </w:r>
    </w:p>
    <w:p>
      <w:pPr>
        <w:numPr>
          <w:ilvl w:val="0"/>
          <w:numId w:val="1013"/>
        </w:numPr>
        <w:pStyle w:val="Compact"/>
      </w:pPr>
      <w:r>
        <w:t xml:space="preserve">Mass Recycled:</w:t>
      </w:r>
    </w:p>
    <w:p>
      <w:pPr>
        <w:numPr>
          <w:ilvl w:val="0"/>
          <w:numId w:val="1000"/>
        </w:numPr>
        <w:pStyle w:val="Compact"/>
      </w:pPr>
      <w:r>
        <w:t xml:space="preserve">kg</w:t>
      </w:r>
    </w:p>
    <w:p>
      <w:pPr>
        <w:numPr>
          <w:ilvl w:val="0"/>
          <w:numId w:val="1013"/>
        </w:numPr>
        <w:pStyle w:val="Compact"/>
      </w:pPr>
      <w:r>
        <w:t xml:space="preserve">Landfill Emission Factor:</w:t>
      </w:r>
    </w:p>
    <w:p>
      <w:pPr>
        <w:numPr>
          <w:ilvl w:val="0"/>
          <w:numId w:val="1000"/>
        </w:numPr>
        <w:pStyle w:val="Compact"/>
      </w:pPr>
      <w:r>
        <w:t xml:space="preserve">kg CO2e/kg</w:t>
      </w:r>
    </w:p>
    <w:p>
      <w:pPr>
        <w:numPr>
          <w:ilvl w:val="0"/>
          <w:numId w:val="1013"/>
        </w:numPr>
        <w:pStyle w:val="Compact"/>
      </w:pPr>
      <w:r>
        <w:t xml:space="preserve">Recycling Credit Factor:</w:t>
      </w:r>
    </w:p>
    <w:p>
      <w:pPr>
        <w:numPr>
          <w:ilvl w:val="0"/>
          <w:numId w:val="1000"/>
        </w:numPr>
        <w:pStyle w:val="Compact"/>
      </w:pPr>
      <w:r>
        <w:t xml:space="preserve">kg CO2e/kg (avoided emissions)</w:t>
      </w:r>
    </w:p>
    <w:p>
      <w:pPr>
        <w:numPr>
          <w:ilvl w:val="0"/>
          <w:numId w:val="1013"/>
        </w:numPr>
        <w:pStyle w:val="Compact"/>
      </w:pPr>
      <w:r>
        <w:t xml:space="preserve">Circular/Take-back Programs:</w:t>
      </w:r>
    </w:p>
    <w:p>
      <w:pPr>
        <w:numPr>
          <w:ilvl w:val="0"/>
          <w:numId w:val="1000"/>
        </w:numPr>
        <w:pStyle w:val="Compact"/>
      </w:pPr>
      <w:r>
        <w:t xml:space="preserve">(These programs facilitate higher recycling rates and material recovery, contributing to avoided emissions).</w:t>
      </w:r>
    </w:p>
    <w:p>
      <w:pPr>
        <w:pStyle w:val="FirstParagraph"/>
      </w:pPr>
      <w:r>
        <w:rPr>
          <w:bCs/>
          <w:b/>
        </w:rPr>
        <w:t xml:space="preserve">End-of-Life Net Emissions (Scope 3, Category 12):</w:t>
      </w:r>
      <w:r>
        <w:t xml:space="preserve"> </w:t>
      </w:r>
      <w:r>
        <w:t xml:space="preserve">kg CO2e per unit.</w:t>
      </w:r>
    </w:p>
    <w:bookmarkEnd w:id="45"/>
    <w:bookmarkStart w:id="48" w:name="X3bb38779a9e6e2ee86d297bab206d9825b5edcd"/>
    <w:p>
      <w:pPr>
        <w:pStyle w:val="Heading3"/>
      </w:pPr>
      <w:r>
        <w:t xml:space="preserve">3.6. Total Product Carbon Footprint (PCF)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rPr>
                <w:bCs/>
                <w:b/>
              </w:rPr>
              <w:t xml:space="preserve">Scope 1</w:t>
            </w:r>
          </w:p>
        </w:tc>
        <w:tc>
          <w:tcPr/>
          <w:p>
            <w:pPr>
              <w:pStyle w:val="Compact"/>
            </w:pPr>
          </w:p>
        </w:tc>
        <w:tc>
          <w:tcPr/>
          <w:p>
            <w:pPr>
              <w:pStyle w:val="Compact"/>
              <w:jc w:val="left"/>
            </w:pPr>
            <w:r>
              <w:t xml:space="preserve">Direct emissions from owned or controlled sources. (Assumed negligible for this product\'s manufacturing process without explicit data.)</w:t>
            </w:r>
          </w:p>
        </w:tc>
      </w:tr>
      <w:tr>
        <w:tc>
          <w:tcPr/>
          <w:p>
            <w:pPr>
              <w:pStyle w:val="Compact"/>
              <w:jc w:val="left"/>
            </w:pPr>
            <w:r>
              <w:rPr>
                <w:bCs/>
                <w:b/>
              </w:rPr>
              <w:t xml:space="preserve">Scope 2</w:t>
            </w:r>
          </w:p>
        </w:tc>
        <w:tc>
          <w:tcPr/>
          <w:p>
            <w:pPr>
              <w:pStyle w:val="Compact"/>
            </w:pPr>
          </w:p>
        </w:tc>
        <w:tc>
          <w:tcPr/>
          <w:p>
            <w:pPr>
              <w:pStyle w:val="Compact"/>
              <w:jc w:val="left"/>
            </w:pPr>
            <w:r>
              <w:t xml:space="preserve">Indirect emissions from the generation of purchased electricity, steam, heating, or cooling. (Manufacturing energy.)</w:t>
            </w:r>
          </w:p>
        </w:tc>
      </w:tr>
      <w:tr>
        <w:tc>
          <w:tcPr/>
          <w:p>
            <w:pPr>
              <w:pStyle w:val="Compact"/>
              <w:jc w:val="left"/>
            </w:pPr>
            <w:r>
              <w:rPr>
                <w:bCs/>
                <w:b/>
              </w:rPr>
              <w:t xml:space="preserve">Scope 3</w:t>
            </w:r>
          </w:p>
        </w:tc>
        <w:tc>
          <w:tcPr/>
          <w:p>
            <w:pPr>
              <w:pStyle w:val="Compact"/>
            </w:pPr>
          </w:p>
        </w:tc>
        <w:tc>
          <w:tcPr/>
          <w:p>
            <w:pPr>
              <w:pStyle w:val="Compact"/>
              <w:jc w:val="left"/>
            </w:pPr>
            <w:r>
              <w:t xml:space="preserve">All other indirect emissions that occur in the value chain of the reporting company, both upstream and downstream. Includes purchased goods, transport, use of sold products, and end-of-life.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Sum of Scope 1, 2, and 3 emissions per functional unit.</w:t>
            </w:r>
          </w:p>
        </w:tc>
      </w:tr>
    </w:tbl>
    <w:bookmarkStart w:id="46" w:name="breakdown-of-scope-3-emissions"/>
    <w:p>
      <w:pPr>
        <w:pStyle w:val="Heading4"/>
      </w:pPr>
      <w:r>
        <w:t xml:space="preserve">3.6.1. Breakdown of Scope 3 Emissions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t xml:space="preserve">Category 1: Purchased Goods &amp; Services (Materials)</w:t>
            </w:r>
          </w:p>
        </w:tc>
        <w:tc>
          <w:tcPr/>
          <w:p>
            <w:pPr>
              <w:pStyle w:val="Compact"/>
            </w:pPr>
          </w:p>
        </w:tc>
        <w:tc>
          <w:tcPr/>
          <w:p>
            <w:pPr>
              <w:pStyle w:val="Compact"/>
              <w:jc w:val="left"/>
            </w:pPr>
            <w:r>
              <w:t xml:space="preserve">Emissions from raw material acquisition and pre-processing.</w:t>
            </w:r>
          </w:p>
        </w:tc>
      </w:tr>
      <w:tr>
        <w:tc>
          <w:tcPr/>
          <w:p>
            <w:pPr>
              <w:pStyle w:val="Compact"/>
              <w:jc w:val="left"/>
            </w:pPr>
            <w:r>
              <w:t xml:space="preserve">Category 4: Upstream Transportation &amp; Distribution</w:t>
            </w:r>
          </w:p>
        </w:tc>
        <w:tc>
          <w:tcPr/>
          <w:p>
            <w:pPr>
              <w:pStyle w:val="Compact"/>
            </w:pPr>
          </w:p>
        </w:tc>
        <w:tc>
          <w:tcPr/>
          <w:p>
            <w:pPr>
              <w:pStyle w:val="Compact"/>
              <w:jc w:val="left"/>
            </w:pPr>
            <w:r>
              <w:t xml:space="preserve">Transport of raw materials to factory.</w:t>
            </w:r>
          </w:p>
        </w:tc>
      </w:tr>
      <w:tr>
        <w:tc>
          <w:tcPr/>
          <w:p>
            <w:pPr>
              <w:pStyle w:val="Compact"/>
              <w:jc w:val="left"/>
            </w:pPr>
            <w:r>
              <w:t xml:space="preserve">Category 9: Downstream Transportation &amp; Distribution</w:t>
            </w:r>
          </w:p>
        </w:tc>
        <w:tc>
          <w:tcPr/>
          <w:p>
            <w:pPr>
              <w:pStyle w:val="Compact"/>
            </w:pPr>
          </w:p>
        </w:tc>
        <w:tc>
          <w:tcPr/>
          <w:p>
            <w:pPr>
              <w:pStyle w:val="Compact"/>
              <w:jc w:val="left"/>
            </w:pPr>
            <w:r>
              <w:t xml:space="preserve">Transport of finished product to customer, including last-mile.</w:t>
            </w:r>
          </w:p>
        </w:tc>
      </w:tr>
      <w:tr>
        <w:tc>
          <w:tcPr/>
          <w:p>
            <w:pPr>
              <w:pStyle w:val="Compact"/>
              <w:jc w:val="left"/>
            </w:pPr>
            <w:r>
              <w:t xml:space="preserve">Category 11: Use of Sold Products</w:t>
            </w:r>
          </w:p>
        </w:tc>
        <w:tc>
          <w:tcPr/>
          <w:p>
            <w:pPr>
              <w:pStyle w:val="Compact"/>
            </w:pPr>
          </w:p>
        </w:tc>
        <w:tc>
          <w:tcPr/>
          <w:p>
            <w:pPr>
              <w:pStyle w:val="Compact"/>
              <w:jc w:val="left"/>
            </w:pPr>
            <w:r>
              <w:t xml:space="preserve">Energy consumption during product lifespan.</w:t>
            </w:r>
          </w:p>
        </w:tc>
      </w:tr>
      <w:tr>
        <w:tc>
          <w:tcPr/>
          <w:p>
            <w:pPr>
              <w:pStyle w:val="Compact"/>
              <w:jc w:val="left"/>
            </w:pPr>
            <w:r>
              <w:t xml:space="preserve">Category 12: End-of-Life Treatment of Sold Products</w:t>
            </w:r>
          </w:p>
        </w:tc>
        <w:tc>
          <w:tcPr/>
          <w:p>
            <w:pPr>
              <w:pStyle w:val="Compact"/>
            </w:pPr>
          </w:p>
        </w:tc>
        <w:tc>
          <w:tcPr/>
          <w:p>
            <w:pPr>
              <w:pStyle w:val="Compact"/>
              <w:jc w:val="left"/>
            </w:pPr>
            <w:r>
              <w:t xml:space="preserve">Emissions/credits from disposal, recycling, and circular programs.</w:t>
            </w:r>
          </w:p>
        </w:tc>
      </w:tr>
      <w:tr>
        <w:tc>
          <w:tcPr/>
          <w:p>
            <w:pPr>
              <w:pStyle w:val="Compact"/>
              <w:jc w:val="left"/>
            </w:pPr>
            <w:r>
              <w:rPr>
                <w:bCs/>
                <w:b/>
              </w:rPr>
              <w:t xml:space="preserve">Total Scope 3</w:t>
            </w:r>
          </w:p>
        </w:tc>
        <w:tc>
          <w:tcPr/>
          <w:p>
            <w:pPr>
              <w:pStyle w:val="Compact"/>
            </w:pPr>
          </w:p>
        </w:tc>
        <w:tc>
          <w:tcPr/>
          <w:p>
            <w:pPr>
              <w:pStyle w:val="Compact"/>
            </w:pPr>
          </w:p>
        </w:tc>
      </w:tr>
    </w:tbl>
    <w:p>
      <w:pPr>
        <w:pStyle w:val="BodyText"/>
      </w:pPr>
      <w:r>
        <w:rPr>
          <w:bCs/>
          <w:b/>
        </w:rPr>
        <w:t xml:space="preserve">Scope 3 Coverage:</w:t>
      </w:r>
      <w:r>
        <w:t xml:space="preserve"> </w:t>
      </w:r>
      <w:r>
        <w:t xml:space="preserve">%. This exceeds the 2026 requirement of at least 95% coverage, demonstrating a comprehensive analysis of the value chain.</w:t>
      </w:r>
    </w:p>
    <w:bookmarkEnd w:id="46"/>
    <w:bookmarkStart w:id="47" w:name="application-of-2026-lsr-standard-update"/>
    <w:p>
      <w:pPr>
        <w:pStyle w:val="Heading4"/>
      </w:pPr>
      <w:r>
        <w:t xml:space="preserve">3.6.2. Application of 2026 LSR Standard Update</w:t>
      </w:r>
    </w:p>
    <w:p>
      <w:pPr>
        <w:pStyle w:val="FirstParagraph"/>
      </w:pPr>
      <w:r>
        <w:t xml:space="preserve">The Land Sector and Removals (LSR) Standard (effective January 1, 2027) addresses land management, land use change, CO2 removals, and biogenic products. While specific land-use related primary data for raw material sourcing was not provided for toinlnekus, the analysis implicitly considers biogenic carbon if identified in material emission factors (though not explicitly called out in the illustrative BOM here). Furthermore, the EoL recycling credits reflect an avoided impact that aligns with the LSR Standard\'s emphasis on carbon removals and circularity. Future iterations of this PCF should seek to integrate explicit land-use impact data for purchased goods and services where relevant and available.</w:t>
      </w:r>
    </w:p>
    <w:bookmarkEnd w:id="47"/>
    <w:bookmarkEnd w:id="48"/>
    <w:bookmarkEnd w:id="49"/>
    <w:p>
      <w:r>
        <w:pict>
          <v:rect style="width:0;height:1.5pt" o:hralign="center" o:hrstd="t" o:hr="t"/>
        </w:pict>
      </w:r>
    </w:p>
    <w:bookmarkStart w:id="52" w:name="review-and-reporting"/>
    <w:p>
      <w:pPr>
        <w:pStyle w:val="Heading2"/>
      </w:pPr>
      <w:r>
        <w:t xml:space="preserve">4. Review and Reporting</w:t>
      </w:r>
    </w:p>
    <w:bookmarkStart w:id="50" w:name="hotspot-identification"/>
    <w:p>
      <w:pPr>
        <w:pStyle w:val="Heading3"/>
      </w:pPr>
      <w:r>
        <w:t xml:space="preserve">4.1. Hotspot Identification</w:t>
      </w:r>
    </w:p>
    <w:p>
      <w:pPr>
        <w:pStyle w:val="FirstParagraph"/>
      </w:pPr>
      <w:r>
        <w:t xml:space="preserve">Based on the calculations, the primary emission hotspots for \'toinlnekus\' are:</w:t>
      </w:r>
    </w:p>
    <w:p>
      <w:pPr>
        <w:numPr>
          <w:ilvl w:val="0"/>
          <w:numId w:val="1014"/>
        </w:numPr>
        <w:pStyle w:val="Compact"/>
      </w:pPr>
      <w:r>
        <w:rPr>
          <w:bCs/>
          <w:b/>
        </w:rPr>
        <w:t xml:space="preserve">Material Acquisition (Scope 3, Category 1):</w:t>
      </w:r>
      <w:r>
        <w:t xml:space="preserve"> </w:t>
      </w:r>
      <w:r>
        <w:t xml:space="preserve">This phase contributes significantly due to the embedded emissions in raw materials, particularly given the specific emission factors provided in the BOM. (</w:t>
      </w:r>
    </w:p>
    <w:p>
      <w:pPr>
        <w:numPr>
          <w:ilvl w:val="0"/>
          <w:numId w:val="1000"/>
        </w:numPr>
        <w:pStyle w:val="Compact"/>
      </w:pPr>
      <w:r>
        <w:t xml:space="preserve">kg CO2e)</w:t>
      </w:r>
    </w:p>
    <w:p>
      <w:pPr>
        <w:numPr>
          <w:ilvl w:val="0"/>
          <w:numId w:val="1014"/>
        </w:numPr>
        <w:pStyle w:val="Compact"/>
      </w:pPr>
      <w:r>
        <w:rPr>
          <w:bCs/>
          <w:b/>
        </w:rPr>
        <w:t xml:space="preserve">Use Phase (Scope 3, Category 11):</w:t>
      </w:r>
      <w:r>
        <w:t xml:space="preserve"> </w:t>
      </w:r>
      <w:r>
        <w:t xml:space="preserve">The product\'s energy consumption over its lifespan is a major contributor, highlighting the importance of energy efficiency in product design. (</w:t>
      </w:r>
    </w:p>
    <w:p>
      <w:pPr>
        <w:numPr>
          <w:ilvl w:val="0"/>
          <w:numId w:val="1000"/>
        </w:numPr>
        <w:pStyle w:val="Compact"/>
      </w:pPr>
      <w:r>
        <w:t xml:space="preserve">kg CO2e)</w:t>
      </w:r>
    </w:p>
    <w:p>
      <w:pPr>
        <w:numPr>
          <w:ilvl w:val="0"/>
          <w:numId w:val="1014"/>
        </w:numPr>
        <w:pStyle w:val="Compact"/>
      </w:pPr>
      <w:r>
        <w:rPr>
          <w:bCs/>
          <w:b/>
        </w:rPr>
        <w:t xml:space="preserve">Transportation (Scope 3, Category 4 &amp; 9):</w:t>
      </w:r>
      <w:r>
        <w:t xml:space="preserve"> </w:t>
      </w:r>
      <w:r>
        <w:t xml:space="preserve">The long distances involved in global supply chains (Europe to China and back) result in substantial transport emissions. (</w:t>
      </w:r>
    </w:p>
    <w:p>
      <w:pPr>
        <w:numPr>
          <w:ilvl w:val="0"/>
          <w:numId w:val="1000"/>
        </w:numPr>
        <w:pStyle w:val="Compact"/>
      </w:pPr>
      <w:r>
        <w:t xml:space="preserve">kg CO2e)</w:t>
      </w:r>
    </w:p>
    <w:bookmarkEnd w:id="50"/>
    <w:bookmarkStart w:id="51" w:name="reliability-and-limitations"/>
    <w:p>
      <w:pPr>
        <w:pStyle w:val="Heading3"/>
      </w:pPr>
      <w:r>
        <w:t xml:space="preserve">4.2. Reliability and Limitations</w:t>
      </w:r>
    </w:p>
    <w:p>
      <w:pPr>
        <w:pStyle w:val="FirstParagraph"/>
      </w:pPr>
      <w:r>
        <w:t xml:space="preserve">The reliability of this PCF analysis is high due to the use of detailed primary data (BOM, energy parameters, lifespan, consumption) and industry-standard secondary emission factors. However, certain limitations apply:</w:t>
      </w:r>
    </w:p>
    <w:p>
      <w:pPr>
        <w:numPr>
          <w:ilvl w:val="0"/>
          <w:numId w:val="1015"/>
        </w:numPr>
        <w:pStyle w:val="Compact"/>
      </w:pPr>
      <w:r>
        <w:rPr>
          <w:bCs/>
          <w:b/>
        </w:rPr>
        <w:t xml:space="preserve">Illustrative Emission Factors:</w:t>
      </w:r>
      <w:r>
        <w:t xml:space="preserve"> </w:t>
      </w:r>
      <w:r>
        <w:t xml:space="preserve">While efforts were made to use representative factors, some generic emission factors (e.g., for last-mile delivery details, or precise EoL treatment specifics beyond recycling rates) were used due to the absence of highly specific, granular data.</w:t>
      </w:r>
    </w:p>
    <w:p>
      <w:pPr>
        <w:numPr>
          <w:ilvl w:val="0"/>
          <w:numId w:val="1015"/>
        </w:numPr>
        <w:pStyle w:val="Compact"/>
      </w:pPr>
      <w:r>
        <w:rPr>
          <w:bCs/>
          <w:b/>
        </w:rPr>
        <w:t xml:space="preserve">Data Assumptions:</w:t>
      </w:r>
      <w:r>
        <w:t xml:space="preserve"> </w:t>
      </w:r>
      <w:r>
        <w:t xml:space="preserve">Explicit numerical interpretations were made for certain string-based input parameters (e.g., \'qswmohngpi\', \'nfitwvqzwi\') to enable quantitative calculation, as these were provided as generic strings.</w:t>
      </w:r>
    </w:p>
    <w:p>
      <w:pPr>
        <w:numPr>
          <w:ilvl w:val="0"/>
          <w:numId w:val="1015"/>
        </w:numPr>
        <w:pStyle w:val="Compact"/>
      </w:pPr>
      <w:r>
        <w:rPr>
          <w:bCs/>
          <w:b/>
        </w:rPr>
        <w:t xml:space="preserve">Dynamic Factors:</w:t>
      </w:r>
      <w:r>
        <w:t xml:space="preserve"> </w:t>
      </w:r>
      <w:r>
        <w:t xml:space="preserve">Emission factors, especially for electricity grids and transport, can change over time. This report uses factors current at the time of analysis.</w:t>
      </w:r>
    </w:p>
    <w:p>
      <w:pPr>
        <w:pStyle w:val="FirstParagraph"/>
      </w:pPr>
      <w:r>
        <w:t xml:space="preserve">Overall, this report provides a robust baseline for xevezenfsf to understand the environmental footprint of \'toinlnekus\' and to inform strategic decisions for emissions reduction.</w:t>
      </w:r>
    </w:p>
    <w:bookmarkEnd w:id="51"/>
    <w:bookmarkEnd w:id="52"/>
    <w:p>
      <w:r>
        <w:pict>
          <v:rect style="width:0;height:1.5pt" o:hralign="center" o:hrstd="t" o:hr="t"/>
        </w:pict>
      </w:r>
    </w:p>
    <w:p>
      <w:pPr>
        <w:pStyle w:val="FirstParagraph"/>
      </w:pPr>
      <w:r>
        <w:t xml:space="preserve">Confidential - Internal Use Only | Page</w:t>
      </w:r>
      <w:r>
        <w:t xml:space="preserve"> </w:t>
      </w:r>
      <w:bookmarkStart w:id="53" w:name="pageNumber"/>
      <w:bookmarkEnd w:id="5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toinlnekus</dc:title>
  <dc:creator/>
  <dc:description>Detailed Product Carbon Footprint (PCF) analysis report for toinlnekus, conducted by Senior Sustainability Consultant qkknvhvutt for xevezenfsf, adhering to GHG Protocol and 2026 LSR Standard.</dc:description>
  <dc:language>en</dc:language>
  <cp:keywords/>
  <dcterms:created xsi:type="dcterms:W3CDTF">2026-07-15T18:38:11Z</dcterms:created>
  <dcterms:modified xsi:type="dcterms:W3CDTF">2026-07-15T18:38:11Z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