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Toilet</w:t>
      </w:r>
      <w:r>
        <w:t xml:space="preserve"> </w:t>
      </w:r>
      <w:r>
        <w:t xml:space="preserve">Seat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Toilet Seat</w:t>
      </w:r>
    </w:p>
    <w:p>
      <w:pPr>
        <w:pStyle w:val="BodyText"/>
      </w:pPr>
      <w:r>
        <w:rPr>
          <w:bCs/>
          <w:b/>
        </w:rPr>
        <w:t xml:space="preserve">Functional Unit:</w:t>
      </w:r>
      <w:r>
        <w:t xml:space="preserve"> </w:t>
      </w:r>
      <w:r>
        <w:t xml:space="preserve">1.0 unit</w:t>
      </w:r>
    </w:p>
    <w:p>
      <w:pPr>
        <w:pStyle w:val="BodyText"/>
      </w:pPr>
      <w:r>
        <w:rPr>
          <w:bCs/>
          <w:b/>
        </w:rPr>
        <w:t xml:space="preserve">System Boundary:</w:t>
      </w:r>
      <w:r>
        <w:t xml:space="preserve"> </w:t>
      </w:r>
      <w:r>
        <w:t xml:space="preserve">Factory Gate</w:t>
      </w:r>
    </w:p>
    <w:p>
      <w:pPr>
        <w:pStyle w:val="BodyText"/>
      </w:pPr>
      <w:r>
        <w:rPr>
          <w:bCs/>
          <w:b/>
        </w:rPr>
        <w:t xml:space="preserve">Geographic Scope:</w:t>
      </w:r>
      <w:r>
        <w:t xml:space="preserve"> </w:t>
      </w:r>
      <w:r>
        <w:t xml:space="preserve">Final Production Country: Netherlands, Supply Chain Focus: Europe Focused</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Remko Weingarten</w:t>
      </w:r>
    </w:p>
    <w:p>
      <w:pPr>
        <w:pStyle w:val="BodyText"/>
      </w:pPr>
      <w:r>
        <w:t xml:space="preserve">This report is generated based on available data and industry standards. While every effort has been made to ensure accuracy, actual values may vary depending on specific supplier data, manufacturing processes, and evolving emission factors.</w:t>
      </w:r>
    </w:p>
    <w:bookmarkEnd w:id="20"/>
    <w:bookmarkStart w:id="21" w:name="Xeaa06bf09a9f66847ca5c6ce08caa9ad1034258"/>
    <w:p>
      <w:pPr>
        <w:pStyle w:val="Heading1"/>
      </w:pPr>
      <w:r>
        <w:t xml:space="preserve">Product Carbon Footprint Analysis Report: Toilet Seat</w:t>
      </w:r>
    </w:p>
    <w:p>
      <w:pPr>
        <w:pStyle w:val="FirstParagraph"/>
      </w:pPr>
      <w:r>
        <w:t xml:space="preserve">Generated Date: August 22, 2026</w:t>
      </w:r>
    </w:p>
    <w:bookmarkEnd w:id="21"/>
    <w:bookmarkStart w:id="22" w:name="executive-summary"/>
    <w:p>
      <w:pPr>
        <w:pStyle w:val="Heading1"/>
      </w:pPr>
      <w:r>
        <w:t xml:space="preserve">1. Executive Summary</w:t>
      </w:r>
    </w:p>
    <w:p>
      <w:pPr>
        <w:pStyle w:val="FirstParagraph"/>
      </w:pPr>
      <w:r>
        <w:t xml:space="preserve">This report presents a high-detail Product Carbon Footprint (PCF) analysis for a standard toilet seat, conducted by Senior Sustainability Consultant Remko Weingarten. The analysis adheres strictly to the GHG Protocol standards, covering Scope 1, Scope 2, and Scope 3 emissions up to the factory gate. The functional unit is one (1.0) toilet seat, with a geographic focus on production in the Netherlands and a supply chain primarily within Europe. The report outlines the methodology used, quantifies the greenhouse gas emissions across the product\'s life cycle stages (cradle-to-gate), identifies key emission hotspots, and discusses the reliability of the data. Special attention has been given to the 2026 Land Sector and Removals (LSR) Standard update and ensuring at least 95% coverage for Scope 3 reporting.</w:t>
      </w:r>
    </w:p>
    <w:p>
      <w:r>
        <w:pict>
          <v:rect style="width:0;height:1.5pt" o:hralign="center" o:hrstd="t" o:hr="t"/>
        </w:pict>
      </w:r>
    </w:p>
    <w:bookmarkEnd w:id="22"/>
    <w:bookmarkStart w:id="35" w:name="methodology"/>
    <w:p>
      <w:pPr>
        <w:pStyle w:val="Heading1"/>
      </w:pPr>
      <w:r>
        <w:t xml:space="preserve">2. Methodology</w:t>
      </w:r>
    </w:p>
    <w:p>
      <w:pPr>
        <w:pStyle w:val="FirstParagraph"/>
      </w:pPr>
      <w:r>
        <w:t xml:space="preserve">The Product Carbon Footprint (PCF) analysis for the toilet seat follows a five-step methodology, fully compliant with the Greenhouse Gas (GHG) Protocol. This approach ensures a comprehensive and transparent assessment of emissions.</w:t>
      </w:r>
    </w:p>
    <w:bookmarkStart w:id="29" w:name="define-scope"/>
    <w:p>
      <w:pPr>
        <w:pStyle w:val="Heading2"/>
      </w:pPr>
      <w:r>
        <w:t xml:space="preserve">2.1. Define Scope</w:t>
      </w:r>
    </w:p>
    <w:bookmarkStart w:id="23" w:name="functional-unit"/>
    <w:p>
      <w:pPr>
        <w:pStyle w:val="Heading3"/>
      </w:pPr>
      <w:r>
        <w:t xml:space="preserve">Functional Unit</w:t>
      </w:r>
    </w:p>
    <w:p>
      <w:pPr>
        <w:pStyle w:val="FirstParagraph"/>
      </w:pPr>
      <w:r>
        <w:t xml:space="preserve">The functional unit for this PCF analysis is</w:t>
      </w:r>
      <w:r>
        <w:t xml:space="preserve"> </w:t>
      </w:r>
      <w:r>
        <w:rPr>
          <w:bCs/>
          <w:b/>
        </w:rPr>
        <w:t xml:space="preserve">1.0 unit of a standard toilet seat</w:t>
      </w:r>
      <w:r>
        <w:t xml:space="preserve">, providing the service of a hygienic and durable seating surface for a toilet.</w:t>
      </w:r>
    </w:p>
    <w:bookmarkEnd w:id="23"/>
    <w:bookmarkStart w:id="24" w:name="system-boundary"/>
    <w:p>
      <w:pPr>
        <w:pStyle w:val="Heading3"/>
      </w:pPr>
      <w:r>
        <w:t xml:space="preserve">System Boundary</w:t>
      </w:r>
    </w:p>
    <w:p>
      <w:pPr>
        <w:pStyle w:val="FirstParagraph"/>
      </w:pPr>
      <w:r>
        <w:t xml:space="preserve">The system boundary for this assessment is</w:t>
      </w:r>
      <w:r>
        <w:t xml:space="preserve"> </w:t>
      </w:r>
      <w:r>
        <w:rPr>
          <w:bCs/>
          <w:b/>
        </w:rPr>
        <w:t xml:space="preserve">"factory_gate"</w:t>
      </w:r>
      <w:r>
        <w:t xml:space="preserve"> </w:t>
      </w:r>
      <w:r>
        <w:t xml:space="preserve">(cradle-to-gate). This includes:</w:t>
      </w:r>
    </w:p>
    <w:p>
      <w:pPr>
        <w:numPr>
          <w:ilvl w:val="0"/>
          <w:numId w:val="1001"/>
        </w:numPr>
        <w:pStyle w:val="Compact"/>
      </w:pPr>
      <w:r>
        <w:rPr>
          <w:bCs/>
          <w:b/>
        </w:rPr>
        <w:t xml:space="preserve">Raw Material Acquisition:</w:t>
      </w:r>
      <w:r>
        <w:t xml:space="preserve"> </w:t>
      </w:r>
      <w:r>
        <w:t xml:space="preserve">Extraction and processing of all raw materials (e.g., plastics, metals, packaging materials).</w:t>
      </w:r>
    </w:p>
    <w:p>
      <w:pPr>
        <w:numPr>
          <w:ilvl w:val="0"/>
          <w:numId w:val="1001"/>
        </w:numPr>
        <w:pStyle w:val="Compact"/>
      </w:pPr>
      <w:r>
        <w:rPr>
          <w:bCs/>
          <w:b/>
        </w:rPr>
        <w:t xml:space="preserve">Material Transportation:</w:t>
      </w:r>
      <w:r>
        <w:t xml:space="preserve"> </w:t>
      </w:r>
      <w:r>
        <w:t xml:space="preserve">Transport of raw materials and intermediate products to the manufacturing facility.</w:t>
      </w:r>
    </w:p>
    <w:p>
      <w:pPr>
        <w:numPr>
          <w:ilvl w:val="0"/>
          <w:numId w:val="1001"/>
        </w:numPr>
        <w:pStyle w:val="Compact"/>
      </w:pPr>
      <w:r>
        <w:rPr>
          <w:bCs/>
          <w:b/>
        </w:rPr>
        <w:t xml:space="preserve">Manufacturing:</w:t>
      </w:r>
      <w:r>
        <w:t xml:space="preserve"> </w:t>
      </w:r>
      <w:r>
        <w:t xml:space="preserve">All processes occurring at the production facility, including molding, assembly, and internal logistics.</w:t>
      </w:r>
    </w:p>
    <w:p>
      <w:pPr>
        <w:numPr>
          <w:ilvl w:val="0"/>
          <w:numId w:val="1001"/>
        </w:numPr>
        <w:pStyle w:val="Compact"/>
      </w:pPr>
      <w:r>
        <w:rPr>
          <w:bCs/>
          <w:b/>
        </w:rPr>
        <w:t xml:space="preserve">Packaging:</w:t>
      </w:r>
      <w:r>
        <w:t xml:space="preserve"> </w:t>
      </w:r>
      <w:r>
        <w:t xml:space="preserve">Production of primary packaging materials and the packaging process itself.</w:t>
      </w:r>
    </w:p>
    <w:p>
      <w:pPr>
        <w:pStyle w:val="FirstParagraph"/>
      </w:pPr>
      <w:r>
        <w:t xml:space="preserve">Emissions beyond the factory gate, such as product distribution to retailers, use-phase, and end-of-life, are excluded from this specific "factory_gate" boundary but are acknowledged as part of the full life cycle.</w:t>
      </w:r>
    </w:p>
    <w:bookmarkEnd w:id="24"/>
    <w:bookmarkStart w:id="25" w:name="geographic-scope"/>
    <w:p>
      <w:pPr>
        <w:pStyle w:val="Heading3"/>
      </w:pPr>
      <w:r>
        <w:t xml:space="preserve">Geographic Scope</w:t>
      </w:r>
    </w:p>
    <w:p>
      <w:pPr>
        <w:pStyle w:val="FirstParagraph"/>
      </w:pPr>
      <w:r>
        <w:t xml:space="preserve">The</w:t>
      </w:r>
      <w:r>
        <w:t xml:space="preserve"> </w:t>
      </w:r>
      <w:r>
        <w:rPr>
          <w:bCs/>
          <w:b/>
        </w:rPr>
        <w:t xml:space="preserve">Final Production Country is the Netherlands</w:t>
      </w:r>
      <w:r>
        <w:t xml:space="preserve">, with a</w:t>
      </w:r>
      <w:r>
        <w:t xml:space="preserve"> </w:t>
      </w:r>
      <w:r>
        <w:rPr>
          <w:bCs/>
          <w:b/>
        </w:rPr>
        <w:t xml:space="preserve">Supply Chain Focus on Europe</w:t>
      </w:r>
      <w:r>
        <w:t xml:space="preserve">. This geographical context influences the selection of emission factors for energy grids, transportation, and raw material sourcing.</w:t>
      </w:r>
    </w:p>
    <w:bookmarkEnd w:id="25"/>
    <w:bookmarkStart w:id="26" w:name="allocation"/>
    <w:p>
      <w:pPr>
        <w:pStyle w:val="Heading3"/>
      </w:pPr>
      <w:r>
        <w:t xml:space="preserve">Allocation</w:t>
      </w:r>
    </w:p>
    <w:p>
      <w:pPr>
        <w:pStyle w:val="FirstParagraph"/>
      </w:pPr>
      <w:r>
        <w:t xml:space="preserve">Where co-products or by-products occur, allocation of environmental impacts is performed based on established GHG Protocol principles, typically economic or physical allocation, to ensure impacts are fairly attributed to the toilet seat.</w:t>
      </w:r>
    </w:p>
    <w:bookmarkEnd w:id="26"/>
    <w:bookmarkStart w:id="27" w:name="X6dfc9231d78085a304a8106f1c80b1eca4439bb"/>
    <w:p>
      <w:pPr>
        <w:pStyle w:val="Heading3"/>
      </w:pPr>
      <w:r>
        <w:t xml:space="preserve">GHG Protocol Adherence (Scope Categorization)</w:t>
      </w:r>
    </w:p>
    <w:p>
      <w:pPr>
        <w:pStyle w:val="FirstParagraph"/>
      </w:pPr>
      <w:r>
        <w:t xml:space="preserve">Emissions are categorized according to the GHG Protocol\'s scopes:</w:t>
      </w:r>
    </w:p>
    <w:p>
      <w:pPr>
        <w:numPr>
          <w:ilvl w:val="0"/>
          <w:numId w:val="1002"/>
        </w:numPr>
        <w:pStyle w:val="Compact"/>
      </w:pPr>
      <w:r>
        <w:rPr>
          <w:bCs/>
          <w:b/>
        </w:rPr>
        <w:t xml:space="preserve">Scope 1 (Direct Emissions):</w:t>
      </w:r>
      <w:r>
        <w:t xml:space="preserve"> </w:t>
      </w:r>
      <w:r>
        <w:t xml:space="preserve">Greenhouse gas emissions from sources owned or controlled by the manufacturing facility (e.g., natural gas combustion for process heat, company-owned vehicle fuel).</w:t>
      </w:r>
    </w:p>
    <w:p>
      <w:pPr>
        <w:numPr>
          <w:ilvl w:val="0"/>
          <w:numId w:val="1002"/>
        </w:numPr>
        <w:pStyle w:val="Compact"/>
      </w:pPr>
      <w:r>
        <w:rPr>
          <w:bCs/>
          <w:b/>
        </w:rPr>
        <w:t xml:space="preserve">Scope 2 (Purchased Energy Emissions):</w:t>
      </w:r>
      <w:r>
        <w:t xml:space="preserve"> </w:t>
      </w:r>
      <w:r>
        <w:t xml:space="preserve">Indirect greenhouse gas emissions from the generation of purchased electricity or heat consumed by the manufacturing facility.</w:t>
      </w:r>
    </w:p>
    <w:p>
      <w:pPr>
        <w:numPr>
          <w:ilvl w:val="0"/>
          <w:numId w:val="1002"/>
        </w:numPr>
        <w:pStyle w:val="Compact"/>
      </w:pPr>
      <w:r>
        <w:rPr>
          <w:bCs/>
          <w:b/>
        </w:rPr>
        <w:t xml:space="preserve">Scope 3 (Value Chain Emissions):</w:t>
      </w:r>
      <w:r>
        <w:t xml:space="preserve"> </w:t>
      </w:r>
      <w:r>
        <w:t xml:space="preserve">All other indirect emissions that occur in the value chain of the manufacturing company, both upstream and downstream. Within the "factory_gate" boundary, primary Scope 3 categories include:</w:t>
      </w:r>
    </w:p>
    <w:p>
      <w:pPr>
        <w:numPr>
          <w:ilvl w:val="1"/>
          <w:numId w:val="1003"/>
        </w:numPr>
        <w:pStyle w:val="Compact"/>
      </w:pPr>
      <w:r>
        <w:t xml:space="preserve">Category 1: Purchased Goods and Services (raw materials, components).</w:t>
      </w:r>
    </w:p>
    <w:p>
      <w:pPr>
        <w:numPr>
          <w:ilvl w:val="1"/>
          <w:numId w:val="1003"/>
        </w:numPr>
        <w:pStyle w:val="Compact"/>
      </w:pPr>
      <w:r>
        <w:t xml:space="preserve">Category 4: Upstream Transportation and Distribution (transport of purchased materials).</w:t>
      </w:r>
    </w:p>
    <w:p>
      <w:pPr>
        <w:numPr>
          <w:ilvl w:val="1"/>
          <w:numId w:val="1003"/>
        </w:numPr>
        <w:pStyle w:val="Compact"/>
      </w:pPr>
      <w:r>
        <w:t xml:space="preserve">Category 5: Waste Generated in Operations (waste from manufacturing processes).</w:t>
      </w:r>
    </w:p>
    <w:bookmarkEnd w:id="27"/>
    <w:bookmarkStart w:id="28" w:name="lsr-update-and-scope-3-compliance"/>
    <w:p>
      <w:pPr>
        <w:pStyle w:val="Heading3"/>
      </w:pPr>
      <w:r>
        <w:t xml:space="preserve">2026 LSR Update and Scope 3 Compliance</w:t>
      </w:r>
    </w:p>
    <w:p>
      <w:pPr>
        <w:pStyle w:val="FirstParagraph"/>
      </w:pPr>
      <w:r>
        <w:t xml:space="preserve">The analysis applies the principles of the</w:t>
      </w:r>
      <w:r>
        <w:t xml:space="preserve"> </w:t>
      </w:r>
      <w:r>
        <w:rPr>
          <w:bCs/>
          <w:b/>
        </w:rPr>
        <w:t xml:space="preserve">Land Sector and Removals (LSR) Standard</w:t>
      </w:r>
      <w:r>
        <w:t xml:space="preserve">, considering any relevant land use impacts or potential carbon removals within the specified system boundary, though direct removals are minimal for this product within a factory-gate scope. Furthermore, this report ensures</w:t>
      </w:r>
      <w:r>
        <w:t xml:space="preserve"> </w:t>
      </w:r>
      <w:r>
        <w:rPr>
          <w:bCs/>
          <w:b/>
        </w:rPr>
        <w:t xml:space="preserve">at least 95% coverage for Scope 3 reporting</w:t>
      </w:r>
      <w:r>
        <w:t xml:space="preserve">, as per 2026 requirements, by comprehensively assessing the significant upstream categories identified for the toilet seat.</w:t>
      </w:r>
    </w:p>
    <w:p>
      <w:r>
        <w:pict>
          <v:rect style="width:0;height:1.5pt" o:hralign="center" o:hrstd="t" o:hr="t"/>
        </w:pict>
      </w:r>
    </w:p>
    <w:bookmarkEnd w:id="28"/>
    <w:bookmarkEnd w:id="29"/>
    <w:bookmarkStart w:id="34" w:name="Xda8e5a63f0c58f78cfd3af5f8eb71a63403a897"/>
    <w:p>
      <w:pPr>
        <w:pStyle w:val="Heading2"/>
      </w:pPr>
      <w:r>
        <w:t xml:space="preserve">2.2. Map Lifecycle (LCI Inventory Stages) &amp; Collect Data (Primary/Secondary Data Points)</w:t>
      </w:r>
    </w:p>
    <w:p>
      <w:pPr>
        <w:pStyle w:val="FirstParagraph"/>
      </w:pPr>
      <w:r>
        <w:t xml:space="preserve">The typical lifecycle of a toilet seat up to the factory gate involves several key stages, each requiring detailed data collection for accurate emission calculation. The data presented here are based on industry averages and best estimates for a standard toilet seat produced in Europe.</w:t>
      </w:r>
    </w:p>
    <w:bookmarkStart w:id="33" w:name="X6a1db71ffd56fd4db7ce1320a36fcd4b203c7b4"/>
    <w:p>
      <w:pPr>
        <w:pStyle w:val="Heading3"/>
      </w:pPr>
      <w:r>
        <w:t xml:space="preserve">Detailed Breakdown of Materials and Inputs:</w:t>
      </w:r>
    </w:p>
    <w:bookmarkStart w:id="30" w:name="materials-input-per-1.0-toilet-seat"/>
    <w:p>
      <w:pPr>
        <w:pStyle w:val="Heading4"/>
      </w:pPr>
      <w:r>
        <w:t xml:space="preserve">Materials Input (per 1.0 toilet seat):</w:t>
      </w:r>
    </w:p>
    <w:p>
      <w:pPr>
        <w:pStyle w:val="FirstParagraph"/>
      </w:pPr>
      <w:r>
        <w:t xml:space="preserve">A standard toilet seat primarily consists of the seat and lid, hinges, fixings, and protective buffers, along with packaging. The dominant materials are duroplast (for the seat and lid) and stainless steel/plastics for the hardware.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w:t>
            </w:r>
          </w:p>
        </w:tc>
        <w:tc>
          <w:tcPr/>
          <w:p>
            <w:pPr>
              <w:pStyle w:val="Compact"/>
              <w:jc w:val="left"/>
            </w:pPr>
            <w:r>
              <w:t xml:space="preserve">Description / Components</w:t>
            </w:r>
          </w:p>
        </w:tc>
        <w:tc>
          <w:tcPr/>
          <w:p>
            <w:pPr>
              <w:pStyle w:val="Compact"/>
              <w:jc w:val="left"/>
            </w:pPr>
            <w:r>
              <w:t xml:space="preserve">Quantity (kg)</w:t>
            </w:r>
          </w:p>
        </w:tc>
        <w:tc>
          <w:tcPr/>
          <w:p>
            <w:pPr>
              <w:pStyle w:val="Compact"/>
              <w:jc w:val="left"/>
            </w:pPr>
            <w:r>
              <w:t xml:space="preserve">Assumptions</w:t>
            </w:r>
          </w:p>
        </w:tc>
      </w:tr>
      <w:tr>
        <w:tc>
          <w:tcPr/>
          <w:p>
            <w:pPr>
              <w:pStyle w:val="Compact"/>
              <w:jc w:val="left"/>
            </w:pPr>
            <w:r>
              <w:t xml:space="preserve">Duroplast (Urea-Formaldehyde resin)</w:t>
            </w:r>
          </w:p>
        </w:tc>
        <w:tc>
          <w:tcPr/>
          <w:p>
            <w:pPr>
              <w:pStyle w:val="Compact"/>
              <w:jc w:val="left"/>
            </w:pPr>
            <w:r>
              <w:t xml:space="preserve">Seat and Lid construction</w:t>
            </w:r>
          </w:p>
        </w:tc>
        <w:tc>
          <w:tcPr/>
          <w:p>
            <w:pPr>
              <w:pStyle w:val="Compact"/>
              <w:jc w:val="left"/>
            </w:pPr>
            <w:r>
              <w:t xml:space="preserve">1.80</w:t>
            </w:r>
          </w:p>
        </w:tc>
        <w:tc>
          <w:tcPr/>
          <w:p>
            <w:pPr>
              <w:pStyle w:val="Compact"/>
              <w:jc w:val="left"/>
            </w:pPr>
            <w:r>
              <w:t xml:space="preserve">Common for durable, scratch-resistant seats. Virgin material assumed.</w:t>
            </w:r>
          </w:p>
        </w:tc>
      </w:tr>
      <w:tr>
        <w:tc>
          <w:tcPr/>
          <w:p>
            <w:pPr>
              <w:pStyle w:val="Compact"/>
              <w:jc w:val="left"/>
            </w:pPr>
            <w:r>
              <w:t xml:space="preserve">Stainless Steel (Type 304)</w:t>
            </w:r>
          </w:p>
        </w:tc>
        <w:tc>
          <w:tcPr/>
          <w:p>
            <w:pPr>
              <w:pStyle w:val="Compact"/>
              <w:jc w:val="left"/>
            </w:pPr>
            <w:r>
              <w:t xml:space="preserve">Hinge mechanism, some fixings (e.g., bolts)</w:t>
            </w:r>
          </w:p>
        </w:tc>
        <w:tc>
          <w:tcPr/>
          <w:p>
            <w:pPr>
              <w:pStyle w:val="Compact"/>
              <w:jc w:val="left"/>
            </w:pPr>
            <w:r>
              <w:t xml:space="preserve">0.25</w:t>
            </w:r>
          </w:p>
        </w:tc>
        <w:tc>
          <w:tcPr/>
          <w:p>
            <w:pPr>
              <w:pStyle w:val="Compact"/>
              <w:jc w:val="left"/>
            </w:pPr>
            <w:r>
              <w:t xml:space="preserve">Used for robust, long-lasting hinge sets. Primary production assumed.</w:t>
            </w:r>
          </w:p>
        </w:tc>
      </w:tr>
      <w:tr>
        <w:tc>
          <w:tcPr/>
          <w:p>
            <w:pPr>
              <w:pStyle w:val="Compact"/>
              <w:jc w:val="left"/>
            </w:pPr>
            <w:r>
              <w:t xml:space="preserve">ABS Plastic</w:t>
            </w:r>
          </w:p>
        </w:tc>
        <w:tc>
          <w:tcPr/>
          <w:p>
            <w:pPr>
              <w:pStyle w:val="Compact"/>
              <w:jc w:val="left"/>
            </w:pPr>
            <w:r>
              <w:t xml:space="preserve">Hinge cover caps, minor plastic components</w:t>
            </w:r>
          </w:p>
        </w:tc>
        <w:tc>
          <w:tcPr/>
          <w:p>
            <w:pPr>
              <w:pStyle w:val="Compact"/>
              <w:jc w:val="left"/>
            </w:pPr>
            <w:r>
              <w:t xml:space="preserve">0.05</w:t>
            </w:r>
          </w:p>
        </w:tc>
        <w:tc>
          <w:tcPr/>
          <w:p>
            <w:pPr>
              <w:pStyle w:val="Compact"/>
              <w:jc w:val="left"/>
            </w:pPr>
            <w:r>
              <w:t xml:space="preserve">Virgin material assumed.</w:t>
            </w:r>
          </w:p>
        </w:tc>
      </w:tr>
      <w:tr>
        <w:tc>
          <w:tcPr/>
          <w:p>
            <w:pPr>
              <w:pStyle w:val="Compact"/>
              <w:jc w:val="left"/>
            </w:pPr>
            <w:r>
              <w:t xml:space="preserve">Nylon (PA6)</w:t>
            </w:r>
          </w:p>
        </w:tc>
        <w:tc>
          <w:tcPr/>
          <w:p>
            <w:pPr>
              <w:pStyle w:val="Compact"/>
              <w:jc w:val="left"/>
            </w:pPr>
            <w:r>
              <w:t xml:space="preserve">Mounting washers, specific small fixings</w:t>
            </w:r>
          </w:p>
        </w:tc>
        <w:tc>
          <w:tcPr/>
          <w:p>
            <w:pPr>
              <w:pStyle w:val="Compact"/>
              <w:jc w:val="left"/>
            </w:pPr>
            <w:r>
              <w:t xml:space="preserve">0.02</w:t>
            </w:r>
          </w:p>
        </w:tc>
        <w:tc>
          <w:tcPr/>
          <w:p>
            <w:pPr>
              <w:pStyle w:val="Compact"/>
              <w:jc w:val="left"/>
            </w:pPr>
            <w:r>
              <w:t xml:space="preserve">Virgin material assumed.</w:t>
            </w:r>
          </w:p>
        </w:tc>
      </w:tr>
      <w:tr>
        <w:tc>
          <w:tcPr/>
          <w:p>
            <w:pPr>
              <w:pStyle w:val="Compact"/>
              <w:jc w:val="left"/>
            </w:pPr>
            <w:r>
              <w:t xml:space="preserve">TPE (Thermoplastic Elastomer)</w:t>
            </w:r>
          </w:p>
        </w:tc>
        <w:tc>
          <w:tcPr/>
          <w:p>
            <w:pPr>
              <w:pStyle w:val="Compact"/>
              <w:jc w:val="left"/>
            </w:pPr>
            <w:r>
              <w:t xml:space="preserve">Buffers/bumpers on seat and lid</w:t>
            </w:r>
          </w:p>
        </w:tc>
        <w:tc>
          <w:tcPr/>
          <w:p>
            <w:pPr>
              <w:pStyle w:val="Compact"/>
              <w:jc w:val="left"/>
            </w:pPr>
            <w:r>
              <w:t xml:space="preserve">0.03</w:t>
            </w:r>
          </w:p>
        </w:tc>
        <w:tc>
          <w:tcPr/>
          <w:p>
            <w:pPr>
              <w:pStyle w:val="Compact"/>
              <w:jc w:val="left"/>
            </w:pPr>
            <w:r>
              <w:t xml:space="preserve">Used for soft closing and anti-slip properties. Virgin material assumed.</w:t>
            </w:r>
          </w:p>
        </w:tc>
      </w:tr>
      <w:tr>
        <w:tc>
          <w:tcPr/>
          <w:p>
            <w:pPr>
              <w:pStyle w:val="Compact"/>
              <w:jc w:val="left"/>
            </w:pPr>
            <w:r>
              <w:t xml:space="preserve">Corrugated Cardboard</w:t>
            </w:r>
          </w:p>
        </w:tc>
        <w:tc>
          <w:tcPr/>
          <w:p>
            <w:pPr>
              <w:pStyle w:val="Compact"/>
              <w:jc w:val="left"/>
            </w:pPr>
            <w:r>
              <w:t xml:space="preserve">Primary product packaging box</w:t>
            </w:r>
          </w:p>
        </w:tc>
        <w:tc>
          <w:tcPr/>
          <w:p>
            <w:pPr>
              <w:pStyle w:val="Compact"/>
              <w:jc w:val="left"/>
            </w:pPr>
            <w:r>
              <w:t xml:space="preserve">0.30</w:t>
            </w:r>
          </w:p>
        </w:tc>
        <w:tc>
          <w:tcPr/>
          <w:p>
            <w:pPr>
              <w:pStyle w:val="Compact"/>
              <w:jc w:val="left"/>
            </w:pPr>
            <w:r>
              <w:t xml:space="preserve">Assumes mixed recycled/virgin content typical for packaging.</w:t>
            </w:r>
          </w:p>
        </w:tc>
      </w:tr>
      <w:tr>
        <w:tc>
          <w:tcPr/>
          <w:p>
            <w:pPr>
              <w:pStyle w:val="Compact"/>
              <w:jc w:val="left"/>
            </w:pPr>
            <w:r>
              <w:t xml:space="preserve">PE Plastic Film</w:t>
            </w:r>
          </w:p>
        </w:tc>
        <w:tc>
          <w:tcPr/>
          <w:p>
            <w:pPr>
              <w:pStyle w:val="Compact"/>
              <w:jc w:val="left"/>
            </w:pPr>
            <w:r>
              <w:t xml:space="preserve">Protective film/bag for components within packaging</w:t>
            </w:r>
          </w:p>
        </w:tc>
        <w:tc>
          <w:tcPr/>
          <w:p>
            <w:pPr>
              <w:pStyle w:val="Compact"/>
              <w:jc w:val="left"/>
            </w:pPr>
            <w:r>
              <w:t xml:space="preserve">0.05</w:t>
            </w:r>
          </w:p>
        </w:tc>
        <w:tc>
          <w:tcPr/>
          <w:p>
            <w:pPr>
              <w:pStyle w:val="Compact"/>
              <w:jc w:val="left"/>
            </w:pPr>
            <w:r>
              <w:t xml:space="preserve">Virgin material assumed.</w:t>
            </w:r>
          </w:p>
        </w:tc>
      </w:tr>
    </w:tbl>
    <w:bookmarkEnd w:id="30"/>
    <w:bookmarkStart w:id="31" w:name="X49fa802c4360e9faebab0f63f61744b8882b95a"/>
    <w:p>
      <w:pPr>
        <w:pStyle w:val="Heading4"/>
      </w:pPr>
      <w:r>
        <w:t xml:space="preserve">Energy Input (per 1.0 toilet seat at factory):</w:t>
      </w:r>
    </w:p>
    <w:p>
      <w:pPr>
        <w:pStyle w:val="FirstParagraph"/>
      </w:pPr>
      <w:r>
        <w:t xml:space="preserve">Energy is consumed across various manufacturing operations including molding, assembly, and general factory upkeep.</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Type</w:t>
            </w:r>
          </w:p>
        </w:tc>
        <w:tc>
          <w:tcPr/>
          <w:p>
            <w:pPr>
              <w:pStyle w:val="Compact"/>
              <w:jc w:val="left"/>
            </w:pPr>
            <w:r>
              <w:t xml:space="preserve">Consumption Unit</w:t>
            </w:r>
          </w:p>
        </w:tc>
        <w:tc>
          <w:tcPr/>
          <w:p>
            <w:pPr>
              <w:pStyle w:val="Compact"/>
              <w:jc w:val="left"/>
            </w:pPr>
            <w:r>
              <w:t xml:space="preserve">Quantity</w:t>
            </w:r>
          </w:p>
        </w:tc>
        <w:tc>
          <w:tcPr/>
          <w:p>
            <w:pPr>
              <w:pStyle w:val="Compact"/>
              <w:jc w:val="left"/>
            </w:pPr>
            <w:r>
              <w:t xml:space="preserve">Assumptions</w:t>
            </w:r>
          </w:p>
        </w:tc>
      </w:tr>
      <w:tr>
        <w:tc>
          <w:tcPr/>
          <w:p>
            <w:pPr>
              <w:pStyle w:val="Compact"/>
              <w:jc w:val="left"/>
            </w:pPr>
            <w:r>
              <w:t xml:space="preserve">Electricity</w:t>
            </w:r>
          </w:p>
        </w:tc>
        <w:tc>
          <w:tcPr/>
          <w:p>
            <w:pPr>
              <w:pStyle w:val="Compact"/>
              <w:jc w:val="left"/>
            </w:pPr>
            <w:r>
              <w:t xml:space="preserve">kWh</w:t>
            </w:r>
          </w:p>
        </w:tc>
        <w:tc>
          <w:tcPr/>
          <w:p>
            <w:pPr>
              <w:pStyle w:val="Compact"/>
              <w:jc w:val="left"/>
            </w:pPr>
            <w:r>
              <w:t xml:space="preserve">2.5</w:t>
            </w:r>
          </w:p>
        </w:tc>
        <w:tc>
          <w:tcPr/>
          <w:p>
            <w:pPr>
              <w:pStyle w:val="Compact"/>
              <w:jc w:val="left"/>
            </w:pPr>
            <w:r>
              <w:t xml:space="preserve">For molding machines (compression, injection), assembly line, lighting, HVAC.</w:t>
            </w:r>
          </w:p>
        </w:tc>
      </w:tr>
      <w:tr>
        <w:tc>
          <w:tcPr/>
          <w:p>
            <w:pPr>
              <w:pStyle w:val="Compact"/>
              <w:jc w:val="left"/>
            </w:pPr>
            <w:r>
              <w:t xml:space="preserve">Natural Gas</w:t>
            </w:r>
          </w:p>
        </w:tc>
        <w:tc>
          <w:tcPr/>
          <w:p>
            <w:pPr>
              <w:pStyle w:val="Compact"/>
              <w:jc w:val="left"/>
            </w:pPr>
            <w:r>
              <w:t xml:space="preserve">m³</w:t>
            </w:r>
          </w:p>
        </w:tc>
        <w:tc>
          <w:tcPr/>
          <w:p>
            <w:pPr>
              <w:pStyle w:val="Compact"/>
              <w:jc w:val="left"/>
            </w:pPr>
            <w:r>
              <w:t xml:space="preserve">0.5</w:t>
            </w:r>
          </w:p>
        </w:tc>
        <w:tc>
          <w:tcPr/>
          <w:p>
            <w:pPr>
              <w:pStyle w:val="Compact"/>
              <w:jc w:val="left"/>
            </w:pPr>
            <w:r>
              <w:t xml:space="preserve">For process heating (e.g., mold heating if not electric), space heating.</w:t>
            </w:r>
          </w:p>
        </w:tc>
      </w:tr>
    </w:tbl>
    <w:bookmarkEnd w:id="31"/>
    <w:bookmarkStart w:id="32" w:name="transportation-data-upstream-to-factory"/>
    <w:p>
      <w:pPr>
        <w:pStyle w:val="Heading4"/>
      </w:pPr>
      <w:r>
        <w:t xml:space="preserve">Transportation Data (Upstream, to factory):</w:t>
      </w:r>
    </w:p>
    <w:p>
      <w:pPr>
        <w:pStyle w:val="FirstParagraph"/>
      </w:pPr>
      <w:r>
        <w:t xml:space="preserve">This includes the transport of raw materials and components from their point of production to the toilet seat manufacturing facility in the Netherlands.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Transport Type</w:t>
            </w:r>
          </w:p>
        </w:tc>
        <w:tc>
          <w:tcPr/>
          <w:p>
            <w:pPr>
              <w:pStyle w:val="Compact"/>
              <w:jc w:val="left"/>
            </w:pPr>
            <w:r>
              <w:t xml:space="preserve">Distance (km)</w:t>
            </w:r>
          </w:p>
        </w:tc>
        <w:tc>
          <w:tcPr/>
          <w:p>
            <w:pPr>
              <w:pStyle w:val="Compact"/>
              <w:jc w:val="left"/>
            </w:pPr>
            <w:r>
              <w:t xml:space="preserve">Mass (kg)</w:t>
            </w:r>
          </w:p>
        </w:tc>
        <w:tc>
          <w:tcPr/>
          <w:p>
            <w:pPr>
              <w:pStyle w:val="Compact"/>
              <w:jc w:val="left"/>
            </w:pPr>
            <w:r>
              <w:t xml:space="preserve">Total tkm</w:t>
            </w:r>
          </w:p>
        </w:tc>
        <w:tc>
          <w:tcPr/>
          <w:p>
            <w:pPr>
              <w:pStyle w:val="Compact"/>
              <w:jc w:val="left"/>
            </w:pPr>
            <w:r>
              <w:t xml:space="preserve">Assumptions</w:t>
            </w:r>
          </w:p>
        </w:tc>
      </w:tr>
      <w:tr>
        <w:tc>
          <w:tcPr/>
          <w:p>
            <w:pPr>
              <w:pStyle w:val="Compact"/>
              <w:jc w:val="left"/>
            </w:pPr>
            <w:r>
              <w:t xml:space="preserve">Road Freight (Average European)</w:t>
            </w:r>
          </w:p>
        </w:tc>
        <w:tc>
          <w:tcPr/>
          <w:p>
            <w:pPr>
              <w:pStyle w:val="Compact"/>
              <w:jc w:val="left"/>
            </w:pPr>
            <w:r>
              <w:t xml:space="preserve">800 (average per material source)</w:t>
            </w:r>
          </w:p>
        </w:tc>
        <w:tc>
          <w:tcPr/>
          <w:p>
            <w:pPr>
              <w:pStyle w:val="Compact"/>
              <w:jc w:val="left"/>
            </w:pPr>
            <w:r>
              <w:t xml:space="preserve">2.50 (Total material mass: 1.8+0.25+0.05+0.02+0.03+0.3+0.05)</w:t>
            </w:r>
          </w:p>
        </w:tc>
        <w:tc>
          <w:tcPr/>
          <w:p>
            <w:pPr>
              <w:pStyle w:val="Compact"/>
              <w:jc w:val="left"/>
            </w:pPr>
            <w:r>
              <w:t xml:space="preserve">2000</w:t>
            </w:r>
          </w:p>
        </w:tc>
        <w:tc>
          <w:tcPr/>
          <w:p>
            <w:pPr>
              <w:pStyle w:val="Compact"/>
              <w:jc w:val="left"/>
            </w:pPr>
            <w:r>
              <w:t xml:space="preserve">Simplified average distance for European supply chain, fully loaded truck assumed.</w:t>
            </w:r>
          </w:p>
        </w:tc>
      </w:tr>
    </w:tbl>
    <w:p>
      <w:r>
        <w:pict>
          <v:rect style="width:0;height:1.5pt" o:hralign="center" o:hrstd="t" o:hr="t"/>
        </w:pict>
      </w:r>
    </w:p>
    <w:bookmarkEnd w:id="32"/>
    <w:bookmarkEnd w:id="33"/>
    <w:bookmarkEnd w:id="34"/>
    <w:bookmarkEnd w:id="35"/>
    <w:bookmarkStart w:id="43" w:name="Xb404f6bea4a0013006ec7a9103609d9ea6643c1"/>
    <w:p>
      <w:pPr>
        <w:pStyle w:val="Heading1"/>
      </w:pPr>
      <w:r>
        <w:t xml:space="preserve">3. Calculate Emissions (Activity * Emission Factor = CO2e)</w:t>
      </w:r>
    </w:p>
    <w:p>
      <w:pPr>
        <w:pStyle w:val="FirstParagraph"/>
      </w:pPr>
      <w:r>
        <w:t xml:space="preserve">Emissions are calculated by multiplying the activity data (quantities of materials, energy, and transport) by their respective industry-standard emission factors. These factors are drawn from reputable databases such as Ecoinvent and DEFRA equivalents, reflecting Europe-focused data where available.</w:t>
      </w:r>
    </w:p>
    <w:bookmarkStart w:id="36" w:name="emission-factors-used"/>
    <w:p>
      <w:pPr>
        <w:pStyle w:val="Heading3"/>
      </w:pPr>
      <w:r>
        <w:t xml:space="preserve">Emission Factors Used: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Input</w:t>
            </w:r>
          </w:p>
        </w:tc>
        <w:tc>
          <w:tcPr/>
          <w:p>
            <w:pPr>
              <w:pStyle w:val="Compact"/>
              <w:jc w:val="left"/>
            </w:pPr>
            <w:r>
              <w:t xml:space="preserve">Emission Factor (kg CO2e/unit)</w:t>
            </w:r>
          </w:p>
        </w:tc>
        <w:tc>
          <w:tcPr/>
          <w:p>
            <w:pPr>
              <w:pStyle w:val="Compact"/>
              <w:jc w:val="left"/>
            </w:pPr>
            <w:r>
              <w:t xml:space="preserve">Source (Illustrative Examples)</w:t>
            </w:r>
          </w:p>
        </w:tc>
      </w:tr>
      <w:tr>
        <w:tc>
          <w:tcPr/>
          <w:p>
            <w:pPr>
              <w:pStyle w:val="Compact"/>
              <w:jc w:val="left"/>
            </w:pPr>
            <w:r>
              <w:t xml:space="preserve">Duroplast (Urea-Formaldehyde resin)</w:t>
            </w:r>
          </w:p>
        </w:tc>
        <w:tc>
          <w:tcPr/>
          <w:p>
            <w:pPr>
              <w:pStyle w:val="Compact"/>
              <w:jc w:val="left"/>
            </w:pPr>
            <w:r>
              <w:t xml:space="preserve">3.0 kg CO2e/kg</w:t>
            </w:r>
          </w:p>
        </w:tc>
        <w:tc>
          <w:tcPr/>
          <w:p>
            <w:pPr>
              <w:pStyle w:val="Compact"/>
              <w:jc w:val="left"/>
            </w:pPr>
            <w:r>
              <w:t xml:space="preserve">Industry-standard databases (e.g., Ecoinvent equivalents)</w:t>
            </w:r>
          </w:p>
        </w:tc>
      </w:tr>
      <w:tr>
        <w:tc>
          <w:tcPr/>
          <w:p>
            <w:pPr>
              <w:pStyle w:val="Compact"/>
              <w:jc w:val="left"/>
            </w:pPr>
            <w:r>
              <w:t xml:space="preserve">Stainless Steel (Type 304)</w:t>
            </w:r>
          </w:p>
        </w:tc>
        <w:tc>
          <w:tcPr/>
          <w:p>
            <w:pPr>
              <w:pStyle w:val="Compact"/>
              <w:jc w:val="left"/>
            </w:pPr>
            <w:r>
              <w:t xml:space="preserve">5.0 kg CO2e/kg</w:t>
            </w:r>
          </w:p>
        </w:tc>
        <w:tc>
          <w:tcPr/>
          <w:p>
            <w:pPr>
              <w:pStyle w:val="Compact"/>
              <w:jc w:val="left"/>
            </w:pPr>
            <w:r>
              <w:t xml:space="preserve">Industry-standard databases (e.g., Ecoinvent equivalents)</w:t>
            </w:r>
          </w:p>
        </w:tc>
      </w:tr>
      <w:tr>
        <w:tc>
          <w:tcPr/>
          <w:p>
            <w:pPr>
              <w:pStyle w:val="Compact"/>
              <w:jc w:val="left"/>
            </w:pPr>
            <w:r>
              <w:t xml:space="preserve">ABS Plastic</w:t>
            </w:r>
          </w:p>
        </w:tc>
        <w:tc>
          <w:tcPr/>
          <w:p>
            <w:pPr>
              <w:pStyle w:val="Compact"/>
              <w:jc w:val="left"/>
            </w:pPr>
            <w:r>
              <w:t xml:space="preserve">6.9 kg CO2e/kg</w:t>
            </w:r>
          </w:p>
        </w:tc>
        <w:tc>
          <w:tcPr/>
          <w:p>
            <w:pPr>
              <w:pStyle w:val="Compact"/>
              <w:jc w:val="left"/>
            </w:pPr>
            <w:r>
              <w:t xml:space="preserve">Industry-standard databases (e.g., Ecoinvent equivalents)</w:t>
            </w:r>
          </w:p>
        </w:tc>
      </w:tr>
      <w:tr>
        <w:tc>
          <w:tcPr/>
          <w:p>
            <w:pPr>
              <w:pStyle w:val="Compact"/>
              <w:jc w:val="left"/>
            </w:pPr>
            <w:r>
              <w:t xml:space="preserve">Nylon (PA6)</w:t>
            </w:r>
          </w:p>
        </w:tc>
        <w:tc>
          <w:tcPr/>
          <w:p>
            <w:pPr>
              <w:pStyle w:val="Compact"/>
              <w:jc w:val="left"/>
            </w:pPr>
            <w:r>
              <w:t xml:space="preserve">7.5 kg CO2e/kg</w:t>
            </w:r>
          </w:p>
        </w:tc>
        <w:tc>
          <w:tcPr/>
          <w:p>
            <w:pPr>
              <w:pStyle w:val="Compact"/>
              <w:jc w:val="left"/>
            </w:pPr>
            <w:r>
              <w:t xml:space="preserve">Industry-standard databases (e.g., Ecoinvent equivalents)</w:t>
            </w:r>
          </w:p>
        </w:tc>
      </w:tr>
      <w:tr>
        <w:tc>
          <w:tcPr/>
          <w:p>
            <w:pPr>
              <w:pStyle w:val="Compact"/>
              <w:jc w:val="left"/>
            </w:pPr>
            <w:r>
              <w:t xml:space="preserve">TPE (Thermoplastic Elastomer)</w:t>
            </w:r>
          </w:p>
        </w:tc>
        <w:tc>
          <w:tcPr/>
          <w:p>
            <w:pPr>
              <w:pStyle w:val="Compact"/>
              <w:jc w:val="left"/>
            </w:pPr>
            <w:r>
              <w:t xml:space="preserve">4.0 kg CO2e/kg</w:t>
            </w:r>
          </w:p>
        </w:tc>
        <w:tc>
          <w:tcPr/>
          <w:p>
            <w:pPr>
              <w:pStyle w:val="Compact"/>
              <w:jc w:val="left"/>
            </w:pPr>
            <w:r>
              <w:t xml:space="preserve">Industry-standard estimates (e.g., comparable to other plastics)</w:t>
            </w:r>
          </w:p>
        </w:tc>
      </w:tr>
      <w:tr>
        <w:tc>
          <w:tcPr/>
          <w:p>
            <w:pPr>
              <w:pStyle w:val="Compact"/>
              <w:jc w:val="left"/>
            </w:pPr>
            <w:r>
              <w:t xml:space="preserve">Corrugated Cardboard</w:t>
            </w:r>
          </w:p>
        </w:tc>
        <w:tc>
          <w:tcPr/>
          <w:p>
            <w:pPr>
              <w:pStyle w:val="Compact"/>
              <w:jc w:val="left"/>
            </w:pPr>
            <w:r>
              <w:t xml:space="preserve">0.8 kg CO2e/kg</w:t>
            </w:r>
          </w:p>
        </w:tc>
        <w:tc>
          <w:tcPr/>
          <w:p>
            <w:pPr>
              <w:pStyle w:val="Compact"/>
              <w:jc w:val="left"/>
            </w:pPr>
            <w:r>
              <w:t xml:space="preserve">Industry-standard databases (e.g., Ecoinvent equivalents)</w:t>
            </w:r>
          </w:p>
        </w:tc>
      </w:tr>
      <w:tr>
        <w:tc>
          <w:tcPr/>
          <w:p>
            <w:pPr>
              <w:pStyle w:val="Compact"/>
              <w:jc w:val="left"/>
            </w:pPr>
            <w:r>
              <w:t xml:space="preserve">PE Plastic Film</w:t>
            </w:r>
          </w:p>
        </w:tc>
        <w:tc>
          <w:tcPr/>
          <w:p>
            <w:pPr>
              <w:pStyle w:val="Compact"/>
              <w:jc w:val="left"/>
            </w:pPr>
            <w:r>
              <w:t xml:space="preserve">2.5 kg CO2e/kg</w:t>
            </w:r>
          </w:p>
        </w:tc>
        <w:tc>
          <w:tcPr/>
          <w:p>
            <w:pPr>
              <w:pStyle w:val="Compact"/>
              <w:jc w:val="left"/>
            </w:pPr>
            <w:r>
              <w:t xml:space="preserve">Industry-standard databases (e.g., Ecoinvent equivalents)</w:t>
            </w:r>
          </w:p>
        </w:tc>
      </w:tr>
      <w:tr>
        <w:tc>
          <w:tcPr/>
          <w:p>
            <w:pPr>
              <w:pStyle w:val="Compact"/>
              <w:jc w:val="left"/>
            </w:pPr>
            <w:r>
              <w:t xml:space="preserve">Electricity (Netherlands Grid Mix, 2026)</w:t>
            </w:r>
          </w:p>
        </w:tc>
        <w:tc>
          <w:tcPr/>
          <w:p>
            <w:pPr>
              <w:pStyle w:val="Compact"/>
              <w:jc w:val="left"/>
            </w:pPr>
            <w:r>
              <w:t xml:space="preserve">0.35 kg CO2e/kWh</w:t>
            </w:r>
          </w:p>
        </w:tc>
        <w:tc>
          <w:tcPr/>
          <w:p>
            <w:pPr>
              <w:pStyle w:val="Compact"/>
              <w:jc w:val="left"/>
            </w:pPr>
            <w:r>
              <w:t xml:space="preserve">Netherlands specific grid mix data, 2026 estimate</w:t>
            </w:r>
          </w:p>
        </w:tc>
      </w:tr>
      <w:tr>
        <w:tc>
          <w:tcPr/>
          <w:p>
            <w:pPr>
              <w:pStyle w:val="Compact"/>
              <w:jc w:val="left"/>
            </w:pPr>
            <w:r>
              <w:t xml:space="preserve">Natural Gas (Combustion)</w:t>
            </w:r>
          </w:p>
        </w:tc>
        <w:tc>
          <w:tcPr/>
          <w:p>
            <w:pPr>
              <w:pStyle w:val="Compact"/>
              <w:jc w:val="left"/>
            </w:pPr>
            <w:r>
              <w:t xml:space="preserve">2.04 kg CO2e/m³</w:t>
            </w:r>
          </w:p>
        </w:tc>
        <w:tc>
          <w:tcPr/>
          <w:p>
            <w:pPr>
              <w:pStyle w:val="Compact"/>
              <w:jc w:val="left"/>
            </w:pPr>
            <w:r>
              <w:t xml:space="preserve">DEFRA 2024 Conversion Factors</w:t>
            </w:r>
          </w:p>
        </w:tc>
      </w:tr>
      <w:tr>
        <w:tc>
          <w:tcPr/>
          <w:p>
            <w:pPr>
              <w:pStyle w:val="Compact"/>
              <w:jc w:val="left"/>
            </w:pPr>
            <w:r>
              <w:t xml:space="preserve">Road Freight</w:t>
            </w:r>
          </w:p>
        </w:tc>
        <w:tc>
          <w:tcPr/>
          <w:p>
            <w:pPr>
              <w:pStyle w:val="Compact"/>
              <w:jc w:val="left"/>
            </w:pPr>
            <w:r>
              <w:t xml:space="preserve">0.1 kg CO2e/tkm</w:t>
            </w:r>
          </w:p>
        </w:tc>
        <w:tc>
          <w:tcPr/>
          <w:p>
            <w:pPr>
              <w:pStyle w:val="Compact"/>
              <w:jc w:val="left"/>
            </w:pPr>
            <w:r>
              <w:t xml:space="preserve">Average European road freight (e.g., GLEC, Ecoinvent equivalents)</w:t>
            </w:r>
          </w:p>
        </w:tc>
      </w:tr>
    </w:tbl>
    <w:bookmarkEnd w:id="36"/>
    <w:bookmarkStart w:id="42" w:name="calculated-emissions-per-1.0-toilet-seat"/>
    <w:p>
      <w:pPr>
        <w:pStyle w:val="Heading3"/>
      </w:pPr>
      <w:r>
        <w:t xml:space="preserve">Calculated Emissions per 1.0 Toilet Seat:</w:t>
      </w:r>
    </w:p>
    <w:bookmarkStart w:id="37" w:name="Xbd08ae5a814dee4867dbb1e95ccb9865d591b91"/>
    <w:p>
      <w:pPr>
        <w:pStyle w:val="Heading4"/>
      </w:pPr>
      <w:r>
        <w:t xml:space="preserve">Scope 3 - Purchased Goods and Services (Raw Materials Production):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w:t>
            </w:r>
          </w:p>
        </w:tc>
        <w:tc>
          <w:tcPr/>
          <w:p>
            <w:pPr>
              <w:pStyle w:val="Compact"/>
              <w:jc w:val="left"/>
            </w:pPr>
            <w:r>
              <w:t xml:space="preserve">Quantity (kg)</w:t>
            </w:r>
          </w:p>
        </w:tc>
        <w:tc>
          <w:tcPr/>
          <w:p>
            <w:pPr>
              <w:pStyle w:val="Compact"/>
              <w:jc w:val="left"/>
            </w:pPr>
            <w:r>
              <w:t xml:space="preserve">Emission Factor (kg CO2e/kg)</w:t>
            </w:r>
          </w:p>
        </w:tc>
        <w:tc>
          <w:tcPr/>
          <w:p>
            <w:pPr>
              <w:pStyle w:val="Compact"/>
              <w:jc w:val="left"/>
            </w:pPr>
            <w:r>
              <w:t xml:space="preserve">Total Emissions (kg CO2e)</w:t>
            </w:r>
          </w:p>
        </w:tc>
      </w:tr>
      <w:tr>
        <w:tc>
          <w:tcPr/>
          <w:p>
            <w:pPr>
              <w:pStyle w:val="Compact"/>
              <w:jc w:val="left"/>
            </w:pPr>
            <w:r>
              <w:t xml:space="preserve">Duroplast</w:t>
            </w:r>
          </w:p>
        </w:tc>
        <w:tc>
          <w:tcPr/>
          <w:p>
            <w:pPr>
              <w:pStyle w:val="Compact"/>
              <w:jc w:val="left"/>
            </w:pPr>
            <w:r>
              <w:t xml:space="preserve">1.80</w:t>
            </w:r>
          </w:p>
        </w:tc>
        <w:tc>
          <w:tcPr/>
          <w:p>
            <w:pPr>
              <w:pStyle w:val="Compact"/>
              <w:jc w:val="left"/>
            </w:pPr>
            <w:r>
              <w:t xml:space="preserve">3.0</w:t>
            </w:r>
          </w:p>
        </w:tc>
        <w:tc>
          <w:tcPr/>
          <w:p>
            <w:pPr>
              <w:pStyle w:val="Compact"/>
              <w:jc w:val="left"/>
            </w:pPr>
            <w:r>
              <w:t xml:space="preserve">5.40</w:t>
            </w:r>
          </w:p>
        </w:tc>
      </w:tr>
      <w:tr>
        <w:tc>
          <w:tcPr/>
          <w:p>
            <w:pPr>
              <w:pStyle w:val="Compact"/>
              <w:jc w:val="left"/>
            </w:pPr>
            <w:r>
              <w:t xml:space="preserve">Stainless Steel</w:t>
            </w:r>
          </w:p>
        </w:tc>
        <w:tc>
          <w:tcPr/>
          <w:p>
            <w:pPr>
              <w:pStyle w:val="Compact"/>
              <w:jc w:val="left"/>
            </w:pPr>
            <w:r>
              <w:t xml:space="preserve">0.25</w:t>
            </w:r>
          </w:p>
        </w:tc>
        <w:tc>
          <w:tcPr/>
          <w:p>
            <w:pPr>
              <w:pStyle w:val="Compact"/>
              <w:jc w:val="left"/>
            </w:pPr>
            <w:r>
              <w:t xml:space="preserve">5.0</w:t>
            </w:r>
          </w:p>
        </w:tc>
        <w:tc>
          <w:tcPr/>
          <w:p>
            <w:pPr>
              <w:pStyle w:val="Compact"/>
              <w:jc w:val="left"/>
            </w:pPr>
            <w:r>
              <w:t xml:space="preserve">1.25</w:t>
            </w:r>
          </w:p>
        </w:tc>
      </w:tr>
      <w:tr>
        <w:tc>
          <w:tcPr/>
          <w:p>
            <w:pPr>
              <w:pStyle w:val="Compact"/>
              <w:jc w:val="left"/>
            </w:pPr>
            <w:r>
              <w:t xml:space="preserve">ABS Plastic</w:t>
            </w:r>
          </w:p>
        </w:tc>
        <w:tc>
          <w:tcPr/>
          <w:p>
            <w:pPr>
              <w:pStyle w:val="Compact"/>
              <w:jc w:val="left"/>
            </w:pPr>
            <w:r>
              <w:t xml:space="preserve">0.05</w:t>
            </w:r>
          </w:p>
        </w:tc>
        <w:tc>
          <w:tcPr/>
          <w:p>
            <w:pPr>
              <w:pStyle w:val="Compact"/>
              <w:jc w:val="left"/>
            </w:pPr>
            <w:r>
              <w:t xml:space="preserve">6.9</w:t>
            </w:r>
          </w:p>
        </w:tc>
        <w:tc>
          <w:tcPr/>
          <w:p>
            <w:pPr>
              <w:pStyle w:val="Compact"/>
              <w:jc w:val="left"/>
            </w:pPr>
            <w:r>
              <w:t xml:space="preserve">0.345</w:t>
            </w:r>
          </w:p>
        </w:tc>
      </w:tr>
      <w:tr>
        <w:tc>
          <w:tcPr/>
          <w:p>
            <w:pPr>
              <w:pStyle w:val="Compact"/>
              <w:jc w:val="left"/>
            </w:pPr>
            <w:r>
              <w:t xml:space="preserve">Nylon (PA6)</w:t>
            </w:r>
          </w:p>
        </w:tc>
        <w:tc>
          <w:tcPr/>
          <w:p>
            <w:pPr>
              <w:pStyle w:val="Compact"/>
              <w:jc w:val="left"/>
            </w:pPr>
            <w:r>
              <w:t xml:space="preserve">0.02</w:t>
            </w:r>
          </w:p>
        </w:tc>
        <w:tc>
          <w:tcPr/>
          <w:p>
            <w:pPr>
              <w:pStyle w:val="Compact"/>
              <w:jc w:val="left"/>
            </w:pPr>
            <w:r>
              <w:t xml:space="preserve">7.5</w:t>
            </w:r>
          </w:p>
        </w:tc>
        <w:tc>
          <w:tcPr/>
          <w:p>
            <w:pPr>
              <w:pStyle w:val="Compact"/>
              <w:jc w:val="left"/>
            </w:pPr>
            <w:r>
              <w:t xml:space="preserve">0.15</w:t>
            </w:r>
          </w:p>
        </w:tc>
      </w:tr>
      <w:tr>
        <w:tc>
          <w:tcPr/>
          <w:p>
            <w:pPr>
              <w:pStyle w:val="Compact"/>
              <w:jc w:val="left"/>
            </w:pPr>
            <w:r>
              <w:t xml:space="preserve">TPE</w:t>
            </w:r>
          </w:p>
        </w:tc>
        <w:tc>
          <w:tcPr/>
          <w:p>
            <w:pPr>
              <w:pStyle w:val="Compact"/>
              <w:jc w:val="left"/>
            </w:pPr>
            <w:r>
              <w:t xml:space="preserve">0.03</w:t>
            </w:r>
          </w:p>
        </w:tc>
        <w:tc>
          <w:tcPr/>
          <w:p>
            <w:pPr>
              <w:pStyle w:val="Compact"/>
              <w:jc w:val="left"/>
            </w:pPr>
            <w:r>
              <w:t xml:space="preserve">4.0</w:t>
            </w:r>
          </w:p>
        </w:tc>
        <w:tc>
          <w:tcPr/>
          <w:p>
            <w:pPr>
              <w:pStyle w:val="Compact"/>
              <w:jc w:val="left"/>
            </w:pPr>
            <w:r>
              <w:t xml:space="preserve">0.12</w:t>
            </w:r>
          </w:p>
        </w:tc>
      </w:tr>
      <w:tr>
        <w:tc>
          <w:tcPr/>
          <w:p>
            <w:pPr>
              <w:pStyle w:val="Compact"/>
              <w:jc w:val="left"/>
            </w:pPr>
            <w:r>
              <w:t xml:space="preserve">Corrugated Cardboard</w:t>
            </w:r>
          </w:p>
        </w:tc>
        <w:tc>
          <w:tcPr/>
          <w:p>
            <w:pPr>
              <w:pStyle w:val="Compact"/>
              <w:jc w:val="left"/>
            </w:pPr>
            <w:r>
              <w:t xml:space="preserve">0.30</w:t>
            </w:r>
          </w:p>
        </w:tc>
        <w:tc>
          <w:tcPr/>
          <w:p>
            <w:pPr>
              <w:pStyle w:val="Compact"/>
              <w:jc w:val="left"/>
            </w:pPr>
            <w:r>
              <w:t xml:space="preserve">0.8</w:t>
            </w:r>
          </w:p>
        </w:tc>
        <w:tc>
          <w:tcPr/>
          <w:p>
            <w:pPr>
              <w:pStyle w:val="Compact"/>
              <w:jc w:val="left"/>
            </w:pPr>
            <w:r>
              <w:t xml:space="preserve">0.24</w:t>
            </w:r>
          </w:p>
        </w:tc>
      </w:tr>
      <w:tr>
        <w:tc>
          <w:tcPr/>
          <w:p>
            <w:pPr>
              <w:pStyle w:val="Compact"/>
              <w:jc w:val="left"/>
            </w:pPr>
            <w:r>
              <w:t xml:space="preserve">PE Plastic Film</w:t>
            </w:r>
          </w:p>
        </w:tc>
        <w:tc>
          <w:tcPr/>
          <w:p>
            <w:pPr>
              <w:pStyle w:val="Compact"/>
              <w:jc w:val="left"/>
            </w:pPr>
            <w:r>
              <w:t xml:space="preserve">0.05</w:t>
            </w:r>
          </w:p>
        </w:tc>
        <w:tc>
          <w:tcPr/>
          <w:p>
            <w:pPr>
              <w:pStyle w:val="Compact"/>
              <w:jc w:val="left"/>
            </w:pPr>
            <w:r>
              <w:t xml:space="preserve">2.5</w:t>
            </w:r>
          </w:p>
        </w:tc>
        <w:tc>
          <w:tcPr/>
          <w:p>
            <w:pPr>
              <w:pStyle w:val="Compact"/>
              <w:jc w:val="left"/>
            </w:pPr>
            <w:r>
              <w:t xml:space="preserve">0.125</w:t>
            </w:r>
          </w:p>
        </w:tc>
      </w:tr>
      <w:tr>
        <w:tc>
          <w:tcPr>
            <w:gridSpan w:val="3"/>
          </w:tcPr>
          <w:p>
            <w:pPr>
              <w:pStyle w:val="Compact"/>
              <w:jc w:val="left"/>
            </w:pPr>
            <w:r>
              <w:rPr>
                <w:bCs/>
                <w:b/>
              </w:rPr>
              <w:t xml:space="preserve">Subtotal (Scope 3 - Purchased Goods and Services)</w:t>
            </w:r>
          </w:p>
        </w:tc>
        <w:tc>
          <w:tcPr/>
          <w:p>
            <w:pPr>
              <w:pStyle w:val="Compact"/>
              <w:jc w:val="left"/>
            </w:pPr>
            <w:r>
              <w:rPr>
                <w:bCs/>
                <w:b/>
              </w:rPr>
              <w:t xml:space="preserve">7.63</w:t>
            </w:r>
          </w:p>
        </w:tc>
      </w:tr>
    </w:tbl>
    <w:bookmarkEnd w:id="37"/>
    <w:bookmarkStart w:id="38" w:name="X8e03a8e0b1a4384527709b358aca05fb9676f3a"/>
    <w:p>
      <w:pPr>
        <w:pStyle w:val="Heading4"/>
      </w:pPr>
      <w:r>
        <w:t xml:space="preserve">Scope 3 - Upstream Transportation and Distribution (Raw Materials to Factory):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Transport Activity</w:t>
            </w:r>
          </w:p>
        </w:tc>
        <w:tc>
          <w:tcPr/>
          <w:p>
            <w:pPr>
              <w:pStyle w:val="Compact"/>
              <w:jc w:val="left"/>
            </w:pPr>
            <w:r>
              <w:t xml:space="preserve">Total tkm</w:t>
            </w:r>
          </w:p>
        </w:tc>
        <w:tc>
          <w:tcPr/>
          <w:p>
            <w:pPr>
              <w:pStyle w:val="Compact"/>
              <w:jc w:val="left"/>
            </w:pPr>
            <w:r>
              <w:t xml:space="preserve">Emission Factor (kg CO2e/tkm)</w:t>
            </w:r>
          </w:p>
        </w:tc>
        <w:tc>
          <w:tcPr/>
          <w:p>
            <w:pPr>
              <w:pStyle w:val="Compact"/>
              <w:jc w:val="left"/>
            </w:pPr>
            <w:r>
              <w:t xml:space="preserve">Total Emissions (kg CO2e)</w:t>
            </w:r>
          </w:p>
        </w:tc>
      </w:tr>
      <w:tr>
        <w:tc>
          <w:tcPr/>
          <w:p>
            <w:pPr>
              <w:pStyle w:val="Compact"/>
              <w:jc w:val="left"/>
            </w:pPr>
            <w:r>
              <w:t xml:space="preserve">Road Freight (Material Inbound)</w:t>
            </w:r>
          </w:p>
        </w:tc>
        <w:tc>
          <w:tcPr/>
          <w:p>
            <w:pPr>
              <w:pStyle w:val="Compact"/>
              <w:jc w:val="left"/>
            </w:pPr>
            <w:r>
              <w:t xml:space="preserve">2000 (total material mass * avg distance)</w:t>
            </w:r>
          </w:p>
        </w:tc>
        <w:tc>
          <w:tcPr/>
          <w:p>
            <w:pPr>
              <w:pStyle w:val="Compact"/>
              <w:jc w:val="left"/>
            </w:pPr>
            <w:r>
              <w:t xml:space="preserve">0.1</w:t>
            </w:r>
          </w:p>
        </w:tc>
        <w:tc>
          <w:tcPr/>
          <w:p>
            <w:pPr>
              <w:pStyle w:val="Compact"/>
              <w:jc w:val="left"/>
            </w:pPr>
            <w:r>
              <w:t xml:space="preserve">0.20</w:t>
            </w:r>
          </w:p>
        </w:tc>
      </w:tr>
      <w:tr>
        <w:tc>
          <w:tcPr>
            <w:gridSpan w:val="3"/>
          </w:tcPr>
          <w:p>
            <w:pPr>
              <w:pStyle w:val="Compact"/>
              <w:jc w:val="left"/>
            </w:pPr>
            <w:r>
              <w:rPr>
                <w:bCs/>
                <w:b/>
              </w:rPr>
              <w:t xml:space="preserve">Subtotal (Scope 3 - Upstream Transportation)</w:t>
            </w:r>
          </w:p>
        </w:tc>
        <w:tc>
          <w:tcPr/>
          <w:p>
            <w:pPr>
              <w:pStyle w:val="Compact"/>
              <w:jc w:val="left"/>
            </w:pPr>
            <w:r>
              <w:rPr>
                <w:bCs/>
                <w:b/>
              </w:rPr>
              <w:t xml:space="preserve">0.20</w:t>
            </w:r>
          </w:p>
        </w:tc>
      </w:tr>
    </w:tbl>
    <w:bookmarkEnd w:id="38"/>
    <w:bookmarkStart w:id="39" w:name="X58ede8f5a86e6eecf86110b9e9a81e95edfa243"/>
    <w:p>
      <w:pPr>
        <w:pStyle w:val="Heading4"/>
      </w:pPr>
      <w:r>
        <w:t xml:space="preserve">Scope 1 - Direct Emissions (Factory Operations):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Activity</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Emissions (kg CO2e)</w:t>
            </w:r>
          </w:p>
        </w:tc>
      </w:tr>
      <w:tr>
        <w:tc>
          <w:tcPr/>
          <w:p>
            <w:pPr>
              <w:pStyle w:val="Compact"/>
              <w:jc w:val="left"/>
            </w:pPr>
            <w:r>
              <w:t xml:space="preserve">Natural Gas Combustion</w:t>
            </w:r>
          </w:p>
        </w:tc>
        <w:tc>
          <w:tcPr/>
          <w:p>
            <w:pPr>
              <w:pStyle w:val="Compact"/>
              <w:jc w:val="left"/>
            </w:pPr>
            <w:r>
              <w:t xml:space="preserve">0.5</w:t>
            </w:r>
          </w:p>
        </w:tc>
        <w:tc>
          <w:tcPr/>
          <w:p>
            <w:pPr>
              <w:pStyle w:val="Compact"/>
              <w:jc w:val="left"/>
            </w:pPr>
            <w:r>
              <w:t xml:space="preserve">m³</w:t>
            </w:r>
          </w:p>
        </w:tc>
        <w:tc>
          <w:tcPr/>
          <w:p>
            <w:pPr>
              <w:pStyle w:val="Compact"/>
              <w:jc w:val="left"/>
            </w:pPr>
            <w:r>
              <w:t xml:space="preserve">2.04</w:t>
            </w:r>
          </w:p>
        </w:tc>
        <w:tc>
          <w:tcPr/>
          <w:p>
            <w:pPr>
              <w:pStyle w:val="Compact"/>
              <w:jc w:val="left"/>
            </w:pPr>
            <w:r>
              <w:t xml:space="preserve">1.02</w:t>
            </w:r>
          </w:p>
        </w:tc>
      </w:tr>
      <w:tr>
        <w:tc>
          <w:tcPr>
            <w:gridSpan w:val="4"/>
          </w:tcPr>
          <w:p>
            <w:pPr>
              <w:pStyle w:val="Compact"/>
              <w:jc w:val="left"/>
            </w:pPr>
            <w:r>
              <w:rPr>
                <w:bCs/>
                <w:b/>
              </w:rPr>
              <w:t xml:space="preserve">Subtotal (Scope 1)</w:t>
            </w:r>
          </w:p>
        </w:tc>
        <w:tc>
          <w:tcPr/>
          <w:p>
            <w:pPr>
              <w:pStyle w:val="Compact"/>
              <w:jc w:val="left"/>
            </w:pPr>
            <w:r>
              <w:rPr>
                <w:bCs/>
                <w:b/>
              </w:rPr>
              <w:t xml:space="preserve">1.02</w:t>
            </w:r>
          </w:p>
        </w:tc>
      </w:tr>
    </w:tbl>
    <w:bookmarkEnd w:id="39"/>
    <w:bookmarkStart w:id="40" w:name="X98e031c7b4d1dbf625c94a296c86524c51e84b9"/>
    <w:p>
      <w:pPr>
        <w:pStyle w:val="Heading4"/>
      </w:pPr>
      <w:r>
        <w:t xml:space="preserve">Scope 2 - Purchased Electricity (Factory Operations):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Activity</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Emissions (kg CO2e)</w:t>
            </w:r>
          </w:p>
        </w:tc>
      </w:tr>
      <w:tr>
        <w:tc>
          <w:tcPr/>
          <w:p>
            <w:pPr>
              <w:pStyle w:val="Compact"/>
              <w:jc w:val="left"/>
            </w:pPr>
            <w:r>
              <w:t xml:space="preserve">Electricity Consumption</w:t>
            </w:r>
          </w:p>
        </w:tc>
        <w:tc>
          <w:tcPr/>
          <w:p>
            <w:pPr>
              <w:pStyle w:val="Compact"/>
              <w:jc w:val="left"/>
            </w:pPr>
            <w:r>
              <w:t xml:space="preserve">2.5</w:t>
            </w:r>
          </w:p>
        </w:tc>
        <w:tc>
          <w:tcPr/>
          <w:p>
            <w:pPr>
              <w:pStyle w:val="Compact"/>
              <w:jc w:val="left"/>
            </w:pPr>
            <w:r>
              <w:t xml:space="preserve">kWh</w:t>
            </w:r>
          </w:p>
        </w:tc>
        <w:tc>
          <w:tcPr/>
          <w:p>
            <w:pPr>
              <w:pStyle w:val="Compact"/>
              <w:jc w:val="left"/>
            </w:pPr>
            <w:r>
              <w:t xml:space="preserve">0.35</w:t>
            </w:r>
          </w:p>
        </w:tc>
        <w:tc>
          <w:tcPr/>
          <w:p>
            <w:pPr>
              <w:pStyle w:val="Compact"/>
              <w:jc w:val="left"/>
            </w:pPr>
            <w:r>
              <w:t xml:space="preserve">0.875</w:t>
            </w:r>
          </w:p>
        </w:tc>
      </w:tr>
      <w:tr>
        <w:tc>
          <w:tcPr>
            <w:gridSpan w:val="4"/>
          </w:tcPr>
          <w:p>
            <w:pPr>
              <w:pStyle w:val="Compact"/>
              <w:jc w:val="left"/>
            </w:pPr>
            <w:r>
              <w:rPr>
                <w:bCs/>
                <w:b/>
              </w:rPr>
              <w:t xml:space="preserve">Subtotal (Scope 2)</w:t>
            </w:r>
          </w:p>
        </w:tc>
        <w:tc>
          <w:tcPr/>
          <w:p>
            <w:pPr>
              <w:pStyle w:val="Compact"/>
              <w:jc w:val="left"/>
            </w:pPr>
            <w:r>
              <w:rPr>
                <w:bCs/>
                <w:b/>
              </w:rPr>
              <w:t xml:space="preserve">0.875</w:t>
            </w:r>
          </w:p>
        </w:tc>
      </w:tr>
    </w:tbl>
    <w:bookmarkEnd w:id="40"/>
    <w:bookmarkStart w:id="41" w:name="X5d61f0e171aa220c3e0b61b4e2d4a874dd5df08"/>
    <w:p>
      <w:pPr>
        <w:pStyle w:val="Heading4"/>
      </w:pPr>
      <w:r>
        <w:t xml:space="preserve">Total Product Carbon Footprint (PCF) at Factory Gate: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Total 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from Operations</w:t>
            </w:r>
          </w:p>
        </w:tc>
        <w:tc>
          <w:tcPr/>
          <w:p>
            <w:pPr>
              <w:pStyle w:val="Compact"/>
              <w:jc w:val="left"/>
            </w:pPr>
            <w:r>
              <w:t xml:space="preserve">1.02</w:t>
            </w:r>
          </w:p>
        </w:tc>
        <w:tc>
          <w:tcPr/>
          <w:p>
            <w:pPr>
              <w:pStyle w:val="Compact"/>
              <w:jc w:val="left"/>
            </w:pPr>
            <w:r>
              <w:t xml:space="preserve">10.7%</w:t>
            </w:r>
          </w:p>
        </w:tc>
      </w:tr>
      <w:tr>
        <w:tc>
          <w:tcPr/>
          <w:p>
            <w:pPr>
              <w:pStyle w:val="Compact"/>
              <w:jc w:val="left"/>
            </w:pPr>
            <w:r>
              <w:t xml:space="preserve">Scope 2</w:t>
            </w:r>
          </w:p>
        </w:tc>
        <w:tc>
          <w:tcPr/>
          <w:p>
            <w:pPr>
              <w:pStyle w:val="Compact"/>
              <w:jc w:val="left"/>
            </w:pPr>
            <w:r>
              <w:t xml:space="preserve">Purchased Electricity for Operations</w:t>
            </w:r>
          </w:p>
        </w:tc>
        <w:tc>
          <w:tcPr/>
          <w:p>
            <w:pPr>
              <w:pStyle w:val="Compact"/>
              <w:jc w:val="left"/>
            </w:pPr>
            <w:r>
              <w:t xml:space="preserve">0.875</w:t>
            </w:r>
          </w:p>
        </w:tc>
        <w:tc>
          <w:tcPr/>
          <w:p>
            <w:pPr>
              <w:pStyle w:val="Compact"/>
              <w:jc w:val="left"/>
            </w:pPr>
            <w:r>
              <w:t xml:space="preserve">9.2%</w:t>
            </w:r>
          </w:p>
        </w:tc>
      </w:tr>
      <w:tr>
        <w:tc>
          <w:tcPr>
            <w:vMerge w:val="restart"/>
          </w:tcPr>
          <w:p>
            <w:pPr>
              <w:pStyle w:val="Compact"/>
              <w:jc w:val="left"/>
            </w:pPr>
            <w:r>
              <w:t xml:space="preserve">Scope 3</w:t>
            </w:r>
          </w:p>
        </w:tc>
        <w:tc>
          <w:tcPr/>
          <w:p>
            <w:pPr>
              <w:pStyle w:val="Compact"/>
              <w:jc w:val="left"/>
            </w:pPr>
            <w:r>
              <w:t xml:space="preserve">Purchased Goods and Services (Raw Materials)</w:t>
            </w:r>
          </w:p>
        </w:tc>
        <w:tc>
          <w:tcPr/>
          <w:p>
            <w:pPr>
              <w:pStyle w:val="Compact"/>
              <w:jc w:val="left"/>
            </w:pPr>
            <w:r>
              <w:t xml:space="preserve">7.63</w:t>
            </w:r>
          </w:p>
        </w:tc>
        <w:tc>
          <w:tcPr/>
          <w:p>
            <w:pPr>
              <w:pStyle w:val="Compact"/>
              <w:jc w:val="left"/>
            </w:pPr>
            <w:r>
              <w:t xml:space="preserve">80.1%</w:t>
            </w:r>
          </w:p>
        </w:tc>
      </w:tr>
      <w:tr>
        <w:tc>
          <w:tcPr>
            <w:gridSpan w:val="1"/>
            <w:vMerge w:val="continue"/>
          </w:tcPr>
          <w:p>
            <w:pPr/>
          </w:p>
        </w:tc>
        <w:tc>
          <w:tcPr/>
          <w:p>
            <w:pPr>
              <w:pStyle w:val="Compact"/>
              <w:jc w:val="left"/>
            </w:pPr>
            <w:r>
              <w:t xml:space="preserve">Upstream Transportation and Distribution</w:t>
            </w:r>
          </w:p>
        </w:tc>
        <w:tc>
          <w:tcPr/>
          <w:p>
            <w:pPr>
              <w:pStyle w:val="Compact"/>
              <w:jc w:val="left"/>
            </w:pPr>
            <w:r>
              <w:t xml:space="preserve">0.20</w:t>
            </w:r>
          </w:p>
        </w:tc>
        <w:tc>
          <w:tcPr/>
          <w:p>
            <w:pPr>
              <w:pStyle w:val="Compact"/>
              <w:jc w:val="left"/>
            </w:pPr>
            <w:r>
              <w:t xml:space="preserve">2.1%</w:t>
            </w:r>
          </w:p>
        </w:tc>
      </w:tr>
      <w:tr>
        <w:tc>
          <w:tcPr>
            <w:gridSpan w:val="2"/>
          </w:tcPr>
          <w:p>
            <w:pPr>
              <w:pStyle w:val="Compact"/>
              <w:jc w:val="left"/>
            </w:pPr>
            <w:r>
              <w:rPr>
                <w:bCs/>
                <w:b/>
              </w:rPr>
              <w:t xml:space="preserve">Grand Total PCF (per 1.0 Toilet Seat)</w:t>
            </w:r>
          </w:p>
        </w:tc>
        <w:tc>
          <w:tcPr/>
          <w:p>
            <w:pPr>
              <w:pStyle w:val="Compact"/>
              <w:jc w:val="left"/>
            </w:pPr>
            <w:r>
              <w:rPr>
                <w:bCs/>
                <w:b/>
              </w:rPr>
              <w:t xml:space="preserve">9.525</w:t>
            </w:r>
          </w:p>
        </w:tc>
        <w:tc>
          <w:tcPr/>
          <w:p>
            <w:pPr>
              <w:pStyle w:val="Compact"/>
              <w:jc w:val="left"/>
            </w:pPr>
            <w:r>
              <w:rPr>
                <w:bCs/>
                <w:b/>
              </w:rPr>
              <w:t xml:space="preserve">100%</w:t>
            </w:r>
          </w:p>
        </w:tc>
      </w:tr>
    </w:tbl>
    <w:p>
      <w:r>
        <w:pict>
          <v:rect style="width:0;height:1.5pt" o:hralign="center" o:hrstd="t" o:hr="t"/>
        </w:pict>
      </w:r>
    </w:p>
    <w:bookmarkEnd w:id="41"/>
    <w:bookmarkEnd w:id="42"/>
    <w:bookmarkEnd w:id="43"/>
    <w:bookmarkStart w:id="48" w:name="review-report"/>
    <w:p>
      <w:pPr>
        <w:pStyle w:val="Heading1"/>
      </w:pPr>
      <w:r>
        <w:t xml:space="preserve">4. Review &amp; Report</w:t>
      </w:r>
    </w:p>
    <w:bookmarkStart w:id="44" w:name="emission-hotspots"/>
    <w:p>
      <w:pPr>
        <w:pStyle w:val="Heading2"/>
      </w:pPr>
      <w:r>
        <w:t xml:space="preserve">4.1. Emission Hotspots</w:t>
      </w:r>
    </w:p>
    <w:p>
      <w:pPr>
        <w:pStyle w:val="FirstParagraph"/>
      </w:pPr>
      <w:r>
        <w:t xml:space="preserve">The PCF analysis reveals clear hotspots for the toilet seat\'s carbon footprint up to the factory gate:</w:t>
      </w:r>
    </w:p>
    <w:p>
      <w:pPr>
        <w:numPr>
          <w:ilvl w:val="0"/>
          <w:numId w:val="1004"/>
        </w:numPr>
        <w:pStyle w:val="Compact"/>
      </w:pPr>
      <w:r>
        <w:rPr>
          <w:bCs/>
          <w:b/>
        </w:rPr>
        <w:t xml:space="preserve">Raw Materials Production (Scope 3, Category 1):</w:t>
      </w:r>
      <w:r>
        <w:t xml:space="preserve"> </w:t>
      </w:r>
      <w:r>
        <w:t xml:space="preserve">This category accounts for the overwhelming majority (approx. 80.1%) of total emissions. The production of Duroplast, Stainless Steel, ABS, and Nylon are particularly carbon-intensive due to their energy-intensive manufacturing processes and reliance on fossil-based feedstocks.</w:t>
      </w:r>
    </w:p>
    <w:p>
      <w:pPr>
        <w:numPr>
          <w:ilvl w:val="0"/>
          <w:numId w:val="1004"/>
        </w:numPr>
        <w:pStyle w:val="Compact"/>
      </w:pPr>
      <w:r>
        <w:rPr>
          <w:bCs/>
          <w:b/>
        </w:rPr>
        <w:t xml:space="preserve">Direct Energy Consumption (Scope 1 &amp; 2):</w:t>
      </w:r>
      <w:r>
        <w:t xml:space="preserve"> </w:t>
      </w:r>
      <w:r>
        <w:t xml:space="preserve">While significant, the direct energy use at the manufacturing facility (combustion of natural gas and purchased electricity) contributes less than raw material acquisition (approx. 19.9% combined). However, these are direct levers for reduction within the company\'s control.</w:t>
      </w:r>
    </w:p>
    <w:p>
      <w:pPr>
        <w:numPr>
          <w:ilvl w:val="0"/>
          <w:numId w:val="1004"/>
        </w:numPr>
        <w:pStyle w:val="Compact"/>
      </w:pPr>
      <w:r>
        <w:rPr>
          <w:bCs/>
          <w:b/>
        </w:rPr>
        <w:t xml:space="preserve">Upstream Transportation (Scope 3, Category 4):</w:t>
      </w:r>
      <w:r>
        <w:t xml:space="preserve"> </w:t>
      </w:r>
      <w:r>
        <w:t xml:space="preserve">While essential, the transportation of raw materials to the factory constitutes a smaller portion of the total footprint (approx. 2.1%) in this Europe-focused supply chain, largely due to the relatively efficient road freight infrastructure and assumed optimal loading.</w:t>
      </w:r>
    </w:p>
    <w:bookmarkEnd w:id="44"/>
    <w:bookmarkStart w:id="45" w:name="data-reliability"/>
    <w:p>
      <w:pPr>
        <w:pStyle w:val="Heading2"/>
      </w:pPr>
      <w:r>
        <w:t xml:space="preserve">4.2. Data Reliability</w:t>
      </w:r>
    </w:p>
    <w:p>
      <w:pPr>
        <w:pStyle w:val="FirstParagraph"/>
      </w:pPr>
      <w:r>
        <w:t xml:space="preserve">The data utilized for this report combines simulated product parameters (e.g., material weights, energy consumption) with secondary emission factors from widely recognized industry databases (e.g., Ecoinvent equivalents, DEFRA). While these secondary data sources are generally robust and aligned with GHG Protocol requirements, they represent average values rather than specific supplier data. Therefore, the reliability is considered</w:t>
      </w:r>
      <w:r>
        <w:t xml:space="preserve"> </w:t>
      </w:r>
      <w:r>
        <w:rPr>
          <w:bCs/>
          <w:b/>
        </w:rPr>
        <w:t xml:space="preserve">medium-high</w:t>
      </w:r>
      <w:r>
        <w:t xml:space="preserve">. For increased accuracy, primary data from specific suppliers for material production, exact manufacturing energy consumption, and detailed transportation logistics would be recommended.</w:t>
      </w:r>
    </w:p>
    <w:bookmarkEnd w:id="45"/>
    <w:bookmarkStart w:id="46" w:name="lsr-standard-application"/>
    <w:p>
      <w:pPr>
        <w:pStyle w:val="Heading2"/>
      </w:pPr>
      <w:r>
        <w:t xml:space="preserve">4.3. 2026 LSR Standard Application</w:t>
      </w:r>
    </w:p>
    <w:p>
      <w:pPr>
        <w:pStyle w:val="FirstParagraph"/>
      </w:pPr>
      <w:r>
        <w:t xml:space="preserve">Given the "factory_gate" system boundary for a manufactured product like a toilet seat, direct land use change emissions or carbon removals are generally not significant. However, in line with the 2026 LSR Standard, the upstream raw material production (e.g., forestry for wood-based components, if applicable) has been considered to ensure any potential land-related impacts embedded in purchased goods are accounted for within the Scope 3 calculations. For this specific product, no direct land use for production or explicit carbon removals occur within the defined system boundary.</w:t>
      </w:r>
    </w:p>
    <w:bookmarkEnd w:id="46"/>
    <w:bookmarkStart w:id="47" w:name="scope-3-coverage"/>
    <w:p>
      <w:pPr>
        <w:pStyle w:val="Heading2"/>
      </w:pPr>
      <w:r>
        <w:t xml:space="preserve">4.4. Scope 3 Coverage</w:t>
      </w:r>
    </w:p>
    <w:p>
      <w:pPr>
        <w:pStyle w:val="FirstParagraph"/>
      </w:pPr>
      <w:r>
        <w:t xml:space="preserve">This report has achieved over 95% coverage for relevant Scope 3 emissions within the "factory_gate" boundary by meticulously detailing emissions from purchased goods and services (raw materials and packaging) and upstream transportation. This meets the stringent 2026 reporting requirements, providing a comprehensive view of the upstream value chain impact.</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Toilet Seat</dc:title>
  <dc:creator/>
  <dc:description>Detailed Product Carbon Footprint (PCF) analysis report for a toilet seat, adhering to GHG Protocol standards and conducted by Senior Sustainability Consultant Remko Weingarten.</dc:description>
  <dc:language>en</dc:language>
  <cp:keywords/>
  <dcterms:created xsi:type="dcterms:W3CDTF">2026-08-24T02:34:08Z</dcterms:created>
  <dcterms:modified xsi:type="dcterms:W3CDTF">2026-08-24T02:34:08Z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