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Toilet</w:t>
      </w:r>
      <w:r>
        <w:t xml:space="preserve"> </w:t>
      </w:r>
      <w:r>
        <w:t xml:space="preserve">Seat</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Toilet Seat</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Date: September 02, 2026</w:t>
      </w:r>
    </w:p>
    <w:p>
      <w:pPr>
        <w:pStyle w:val="BodyText"/>
      </w:pPr>
      <w:r>
        <w:t xml:space="preserve">Disclaimer: This report is generated based on available industry data and recognized accounting standards.</w:t>
      </w:r>
      <w:r>
        <w:t xml:space="preserve"> </w:t>
      </w:r>
      <w:r>
        <w:t xml:space="preserve">While every effort has been made to ensure accuracy, specific values may vary based on primary data collection for individual products and supply chains.</w:t>
      </w:r>
    </w:p>
    <w:bookmarkEnd w:id="20"/>
    <w:p>
      <w:pPr>
        <w:pStyle w:val="BodyText"/>
      </w:pPr>
      <w:r>
        <w:t xml:space="preserve">Product Carbon Footprint Report for Toilet Seat | Generated: September 02, 2026</w:t>
      </w:r>
    </w:p>
    <w:bookmarkStart w:id="36" w:name="executive-summary"/>
    <w:p>
      <w:pPr>
        <w:pStyle w:val="Heading1"/>
      </w:pPr>
      <w:r>
        <w:t xml:space="preserve">Executive Summary</w:t>
      </w:r>
    </w:p>
    <w:p>
      <w:pPr>
        <w:pStyle w:val="FirstParagraph"/>
      </w:pPr>
      <w:r>
        <w:t xml:space="preserve">This report presents a high-detail Product Carbon Footprint (PCF) analysis for a standard toilet seat, conducted by remko weingarten, Senior Sustainability Consultant, specializing in GHG Protocol. The analysis adheres to the GHG Protocol Corporate Accounting and Reporting Standard, with consideration for the 2026 Land Sector and Removals (LSR) Standard update. The system boundary is \'factory_gate\', focusing on emissions up to the point the product leaves the final production facility in the Netherlands, with a European-focused supply chain. This analysis aims to identify key emission hotspots and provide a robust carbon footprint assessment for one functional unit of a toilet seat.</w:t>
      </w:r>
    </w:p>
    <w:p>
      <w:r>
        <w:pict>
          <v:rect style="width:0;height:1.5pt" o:hralign="center" o:hrstd="t" o:hr="t"/>
        </w:pict>
      </w:r>
    </w:p>
    <w:bookmarkStart w:id="21" w:name="define-scope"/>
    <w:p>
      <w:pPr>
        <w:pStyle w:val="Heading2"/>
      </w:pPr>
      <w:r>
        <w:t xml:space="preserve">1. Define Scope</w:t>
      </w:r>
    </w:p>
    <w:p>
      <w:pPr>
        <w:pStyle w:val="FirstParagraph"/>
      </w:pPr>
      <w:r>
        <w:t xml:space="preserve">The foundational step in this PCF analysis involves a clear definition of the study\'s scope, ensuring transparency and comparability.</w:t>
      </w:r>
    </w:p>
    <w:p>
      <w:pPr>
        <w:numPr>
          <w:ilvl w:val="0"/>
          <w:numId w:val="1001"/>
        </w:numPr>
        <w:pStyle w:val="Compact"/>
      </w:pPr>
      <w:r>
        <w:rPr>
          <w:bCs/>
          <w:b/>
        </w:rPr>
        <w:t xml:space="preserve">Functional Unit:</w:t>
      </w:r>
      <w:r>
        <w:t xml:space="preserve"> </w:t>
      </w:r>
      <w:r>
        <w:t xml:space="preserve">1.0 unit of a standard toilet seat. This unit provides a consistent basis for quantifying environmental impacts.</w:t>
      </w:r>
    </w:p>
    <w:p>
      <w:pPr>
        <w:numPr>
          <w:ilvl w:val="0"/>
          <w:numId w:val="1001"/>
        </w:numPr>
        <w:pStyle w:val="Compact"/>
      </w:pPr>
      <w:r>
        <w:rPr>
          <w:bCs/>
          <w:b/>
        </w:rPr>
        <w:t xml:space="preserve">System Boundary:</w:t>
      </w:r>
      <w:r>
        <w:t xml:space="preserve"> </w:t>
      </w:r>
      <w:r>
        <w:t xml:space="preserve">factory_gate. This "cradle-to-gate" assessment includes all upstream processes from raw material extraction, processing, and transportation, through to the manufacturing of the finished toilet seat at the production facility. It excludes the use phase, end-of-life treatment, and downstream transportation to the consumer.</w:t>
      </w:r>
    </w:p>
    <w:p>
      <w:pPr>
        <w:numPr>
          <w:ilvl w:val="0"/>
          <w:numId w:val="1001"/>
        </w:numPr>
        <w:pStyle w:val="Compact"/>
      </w:pPr>
      <w:r>
        <w:rPr>
          <w:bCs/>
          <w:b/>
        </w:rPr>
        <w:t xml:space="preserve">Geographic Scope:</w:t>
      </w:r>
      <w:r>
        <w:t xml:space="preserve"> </w:t>
      </w:r>
      <w:r>
        <w:t xml:space="preserve">Final Production Country: Netherlands, Supply Chain Focus: Europe Focused. This implies that electricity mixes and transportation distances are representative of European averages and specific Dutch grid factors where applicable.</w:t>
      </w:r>
    </w:p>
    <w:p>
      <w:pPr>
        <w:numPr>
          <w:ilvl w:val="0"/>
          <w:numId w:val="1001"/>
        </w:numPr>
        <w:pStyle w:val="Compact"/>
      </w:pPr>
      <w:r>
        <w:rPr>
          <w:bCs/>
          <w:b/>
        </w:rPr>
        <w:t xml:space="preserve">Accounting Standard:</w:t>
      </w:r>
      <w:r>
        <w:t xml:space="preserve"> </w:t>
      </w:r>
      <w:r>
        <w:t xml:space="preserve">GHG Protocol. This report strictly adheres to the Greenhouse Gas Protocol\'s Corporate Accounting and Reporting Standard, categorizing emissions into Scope 1, Scope 2, and Scope 3.</w:t>
      </w:r>
    </w:p>
    <w:p>
      <w:pPr>
        <w:numPr>
          <w:ilvl w:val="0"/>
          <w:numId w:val="1001"/>
        </w:numPr>
        <w:pStyle w:val="Compact"/>
      </w:pPr>
      <w:r>
        <w:rPr>
          <w:bCs/>
          <w:b/>
        </w:rPr>
        <w:t xml:space="preserve">Allocation:</w:t>
      </w:r>
      <w:r>
        <w:t xml:space="preserve"> </w:t>
      </w:r>
      <w:r>
        <w:t xml:space="preserve">Environmental burdens from shared processes (e.g., co-production of materials) are allocated based on physical mass, a common approach in PCF studies.</w:t>
      </w:r>
    </w:p>
    <w:p>
      <w:r>
        <w:pict>
          <v:rect style="width:0;height:1.5pt" o:hralign="center" o:hrstd="t" o:hr="t"/>
        </w:pict>
      </w:r>
    </w:p>
    <w:bookmarkEnd w:id="21"/>
    <w:bookmarkStart w:id="24" w:name="map-lifecycle-lci-inventory-stages"/>
    <w:p>
      <w:pPr>
        <w:pStyle w:val="Heading2"/>
      </w:pPr>
      <w:r>
        <w:t xml:space="preserve">2. Map Lifecycle (LCI Inventory Stages)</w:t>
      </w:r>
    </w:p>
    <w:p>
      <w:pPr>
        <w:pStyle w:val="FirstParagraph"/>
      </w:pPr>
      <w:r>
        <w:t xml:space="preserve">A detailed understanding of the toilet seat\'s lifecycle is crucial for an accurate inventory. A typical toilet seat consists primarily of plastic for the seat and lid, and metal for the hinges, along with smaller components and packaging.</w:t>
      </w:r>
    </w:p>
    <w:bookmarkStart w:id="22" w:name="Xb834b202d93c4bb245b9a448165f9b8c19b4c23"/>
    <w:p>
      <w:pPr>
        <w:pStyle w:val="Heading3"/>
      </w:pPr>
      <w:r>
        <w:t xml:space="preserve">Materials Breakdown per Functional Unit (1 Toilet Seat)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w:t>
            </w:r>
          </w:p>
        </w:tc>
        <w:tc>
          <w:tcPr/>
          <w:p>
            <w:pPr>
              <w:pStyle w:val="Compact"/>
              <w:jc w:val="left"/>
            </w:pPr>
            <w:r>
              <w:t xml:space="preserve">Material</w:t>
            </w:r>
          </w:p>
        </w:tc>
        <w:tc>
          <w:tcPr/>
          <w:p>
            <w:pPr>
              <w:pStyle w:val="Compact"/>
              <w:jc w:val="left"/>
            </w:pPr>
            <w:r>
              <w:t xml:space="preserve">Weight (kg)</w:t>
            </w:r>
          </w:p>
        </w:tc>
        <w:tc>
          <w:tcPr/>
          <w:p>
            <w:pPr>
              <w:pStyle w:val="Compact"/>
              <w:jc w:val="left"/>
            </w:pPr>
            <w:r>
              <w:t xml:space="preserve">Primary Process</w:t>
            </w:r>
          </w:p>
        </w:tc>
      </w:tr>
      <w:tr>
        <w:tc>
          <w:tcPr/>
          <w:p>
            <w:pPr>
              <w:pStyle w:val="Compact"/>
              <w:jc w:val="left"/>
            </w:pPr>
            <w:r>
              <w:t xml:space="preserve">Seat &amp; Lid</w:t>
            </w:r>
          </w:p>
        </w:tc>
        <w:tc>
          <w:tcPr/>
          <w:p>
            <w:pPr>
              <w:pStyle w:val="Compact"/>
              <w:jc w:val="left"/>
            </w:pPr>
            <w:r>
              <w:t xml:space="preserve">Polypropylene (PP)</w:t>
            </w:r>
          </w:p>
        </w:tc>
        <w:tc>
          <w:tcPr/>
          <w:p>
            <w:pPr>
              <w:pStyle w:val="Compact"/>
              <w:jc w:val="left"/>
            </w:pPr>
            <w:r>
              <w:t xml:space="preserve">1.70</w:t>
            </w:r>
          </w:p>
        </w:tc>
        <w:tc>
          <w:tcPr/>
          <w:p>
            <w:pPr>
              <w:pStyle w:val="Compact"/>
              <w:jc w:val="left"/>
            </w:pPr>
            <w:r>
              <w:t xml:space="preserve">Injection Molding</w:t>
            </w:r>
          </w:p>
        </w:tc>
      </w:tr>
      <w:tr>
        <w:tc>
          <w:tcPr/>
          <w:p>
            <w:pPr>
              <w:pStyle w:val="Compact"/>
              <w:jc w:val="left"/>
            </w:pPr>
            <w:r>
              <w:t xml:space="preserve">Hinges</w:t>
            </w:r>
          </w:p>
        </w:tc>
        <w:tc>
          <w:tcPr/>
          <w:p>
            <w:pPr>
              <w:pStyle w:val="Compact"/>
              <w:jc w:val="left"/>
            </w:pPr>
            <w:r>
              <w:t xml:space="preserve">Stainless Steel</w:t>
            </w:r>
          </w:p>
        </w:tc>
        <w:tc>
          <w:tcPr/>
          <w:p>
            <w:pPr>
              <w:pStyle w:val="Compact"/>
              <w:jc w:val="left"/>
            </w:pPr>
            <w:r>
              <w:t xml:space="preserve">0.25</w:t>
            </w:r>
          </w:p>
        </w:tc>
        <w:tc>
          <w:tcPr/>
          <w:p>
            <w:pPr>
              <w:pStyle w:val="Compact"/>
              <w:jc w:val="left"/>
            </w:pPr>
            <w:r>
              <w:t xml:space="preserve">Metal Forming, Machining</w:t>
            </w:r>
          </w:p>
        </w:tc>
      </w:tr>
      <w:tr>
        <w:tc>
          <w:tcPr/>
          <w:p>
            <w:pPr>
              <w:pStyle w:val="Compact"/>
              <w:jc w:val="left"/>
            </w:pPr>
            <w:r>
              <w:t xml:space="preserve">Fasteners/Buffers</w:t>
            </w:r>
          </w:p>
        </w:tc>
        <w:tc>
          <w:tcPr/>
          <w:p>
            <w:pPr>
              <w:pStyle w:val="Compact"/>
              <w:jc w:val="left"/>
            </w:pPr>
            <w:r>
              <w:t xml:space="preserve">Polypropylene (PP)</w:t>
            </w:r>
          </w:p>
        </w:tc>
        <w:tc>
          <w:tcPr/>
          <w:p>
            <w:pPr>
              <w:pStyle w:val="Compact"/>
              <w:jc w:val="left"/>
            </w:pPr>
            <w:r>
              <w:t xml:space="preserve">0.05</w:t>
            </w:r>
          </w:p>
        </w:tc>
        <w:tc>
          <w:tcPr/>
          <w:p>
            <w:pPr>
              <w:pStyle w:val="Compact"/>
              <w:jc w:val="left"/>
            </w:pPr>
            <w:r>
              <w:t xml:space="preserve">Injection Molding</w:t>
            </w:r>
          </w:p>
        </w:tc>
      </w:tr>
      <w:tr>
        <w:tc>
          <w:tcPr/>
          <w:p>
            <w:pPr>
              <w:pStyle w:val="Compact"/>
              <w:jc w:val="left"/>
            </w:pPr>
            <w:r>
              <w:t xml:space="preserve">Packaging</w:t>
            </w:r>
          </w:p>
        </w:tc>
        <w:tc>
          <w:tcPr/>
          <w:p>
            <w:pPr>
              <w:pStyle w:val="Compact"/>
              <w:jc w:val="left"/>
            </w:pPr>
            <w:r>
              <w:t xml:space="preserve">Corrugated Cardboard</w:t>
            </w:r>
          </w:p>
        </w:tc>
        <w:tc>
          <w:tcPr/>
          <w:p>
            <w:pPr>
              <w:pStyle w:val="Compact"/>
              <w:jc w:val="left"/>
            </w:pPr>
            <w:r>
              <w:t xml:space="preserve">0.20</w:t>
            </w:r>
          </w:p>
        </w:tc>
        <w:tc>
          <w:tcPr/>
          <w:p>
            <w:pPr>
              <w:pStyle w:val="Compact"/>
              <w:jc w:val="left"/>
            </w:pPr>
            <w:r>
              <w:t xml:space="preserve">Paper &amp; Board Production</w:t>
            </w:r>
          </w:p>
        </w:tc>
      </w:tr>
      <w:tr>
        <w:tc>
          <w:tcPr/>
          <w:p>
            <w:pPr>
              <w:pStyle w:val="Compact"/>
              <w:jc w:val="left"/>
            </w:pPr>
            <w:r>
              <w:rPr>
                <w:bCs/>
                <w:b/>
              </w:rPr>
              <w:t xml:space="preserve">Total Product Weight</w:t>
            </w:r>
          </w:p>
        </w:tc>
        <w:tc>
          <w:tcPr/>
          <w:p>
            <w:pPr>
              <w:pStyle w:val="Compact"/>
            </w:pPr>
          </w:p>
        </w:tc>
        <w:tc>
          <w:tcPr/>
          <w:p>
            <w:pPr>
              <w:pStyle w:val="Compact"/>
              <w:jc w:val="left"/>
            </w:pPr>
            <w:r>
              <w:rPr>
                <w:bCs/>
                <w:b/>
              </w:rPr>
              <w:t xml:space="preserve">2.00</w:t>
            </w:r>
          </w:p>
        </w:tc>
        <w:tc>
          <w:tcPr/>
          <w:p>
            <w:pPr>
              <w:pStyle w:val="Compact"/>
            </w:pPr>
          </w:p>
        </w:tc>
      </w:tr>
      <w:tr>
        <w:tc>
          <w:tcPr/>
          <w:p>
            <w:pPr>
              <w:pStyle w:val="Compact"/>
              <w:jc w:val="left"/>
            </w:pPr>
            <w:r>
              <w:rPr>
                <w:bCs/>
                <w:b/>
              </w:rPr>
              <w:t xml:space="preserve">Total Packaging Weight</w:t>
            </w:r>
          </w:p>
        </w:tc>
        <w:tc>
          <w:tcPr/>
          <w:p>
            <w:pPr>
              <w:pStyle w:val="Compact"/>
            </w:pPr>
          </w:p>
        </w:tc>
        <w:tc>
          <w:tcPr/>
          <w:p>
            <w:pPr>
              <w:pStyle w:val="Compact"/>
              <w:jc w:val="left"/>
            </w:pPr>
            <w:r>
              <w:rPr>
                <w:bCs/>
                <w:b/>
              </w:rPr>
              <w:t xml:space="preserve">0.20</w:t>
            </w:r>
          </w:p>
        </w:tc>
        <w:tc>
          <w:tcPr/>
          <w:p>
            <w:pPr>
              <w:pStyle w:val="Compact"/>
            </w:pPr>
          </w:p>
        </w:tc>
      </w:tr>
    </w:tbl>
    <w:bookmarkEnd w:id="22"/>
    <w:bookmarkStart w:id="23" w:name="Xca98273ef8d1b93a34d81f2b1208073d211cfa0"/>
    <w:p>
      <w:pPr>
        <w:pStyle w:val="Heading3"/>
      </w:pPr>
      <w:r>
        <w:t xml:space="preserve">Energy Inputs and Manufacturing Processes</w:t>
      </w:r>
    </w:p>
    <w:p>
      <w:pPr>
        <w:pStyle w:val="FirstParagraph"/>
      </w:pPr>
      <w:r>
        <w:t xml:space="preserve">The manufacturing process within the \'factory_gate\' boundary includes the following key stages and associated energy demands:</w:t>
      </w:r>
    </w:p>
    <w:p>
      <w:pPr>
        <w:numPr>
          <w:ilvl w:val="0"/>
          <w:numId w:val="1002"/>
        </w:numPr>
        <w:pStyle w:val="Compact"/>
      </w:pPr>
      <w:r>
        <w:rPr>
          <w:bCs/>
          <w:b/>
        </w:rPr>
        <w:t xml:space="preserve">Raw Material Acquisition &amp; Pre-processing (Upstream - Scope 3):</w:t>
      </w:r>
      <w:r>
        <w:t xml:space="preserve"> </w:t>
      </w:r>
      <w:r>
        <w:t xml:space="preserve">Production of plastic resins (PP) from crude oil, extraction and processing of metals (e.g., iron ore, chromium, nickel for stainless steel), and pulp for cardboard. These processes occur outside the direct control of the toilet seat manufacturer but are integral to the product\'s existence.</w:t>
      </w:r>
    </w:p>
    <w:p>
      <w:pPr>
        <w:numPr>
          <w:ilvl w:val="0"/>
          <w:numId w:val="1002"/>
        </w:numPr>
        <w:pStyle w:val="Compact"/>
      </w:pPr>
      <w:r>
        <w:rPr>
          <w:bCs/>
          <w:b/>
        </w:rPr>
        <w:t xml:space="preserve">Component Manufacturing:</w:t>
      </w:r>
    </w:p>
    <w:p>
      <w:pPr>
        <w:numPr>
          <w:ilvl w:val="1"/>
          <w:numId w:val="1003"/>
        </w:numPr>
        <w:pStyle w:val="Compact"/>
      </w:pPr>
      <w:r>
        <w:rPr>
          <w:bCs/>
          <w:b/>
        </w:rPr>
        <w:t xml:space="preserve">Plastic Components (Seat, Lid, Fasteners/Buffers):</w:t>
      </w:r>
      <w:r>
        <w:t xml:space="preserve"> </w:t>
      </w:r>
      <w:r>
        <w:t xml:space="preserve">Primarily injection molding for polypropylene. This process involves heating plastic pellets to a molten state and injecting them into molds.</w:t>
      </w:r>
    </w:p>
    <w:p>
      <w:pPr>
        <w:numPr>
          <w:ilvl w:val="1"/>
          <w:numId w:val="1003"/>
        </w:numPr>
        <w:pStyle w:val="Compact"/>
      </w:pPr>
      <w:r>
        <w:rPr>
          <w:bCs/>
          <w:b/>
        </w:rPr>
        <w:t xml:space="preserve">Metal Components (Hinges):</w:t>
      </w:r>
      <w:r>
        <w:t xml:space="preserve"> </w:t>
      </w:r>
      <w:r>
        <w:t xml:space="preserve">Involves metal forming, cutting, and machining of stainless steel.</w:t>
      </w:r>
    </w:p>
    <w:p>
      <w:pPr>
        <w:numPr>
          <w:ilvl w:val="0"/>
          <w:numId w:val="1002"/>
        </w:numPr>
        <w:pStyle w:val="Compact"/>
      </w:pPr>
      <w:r>
        <w:rPr>
          <w:bCs/>
          <w:b/>
        </w:rPr>
        <w:t xml:space="preserve">Assembly:</w:t>
      </w:r>
      <w:r>
        <w:t xml:space="preserve"> </w:t>
      </w:r>
      <w:r>
        <w:t xml:space="preserve">Joining of plastic and metal components, often through automated or semi-automated processes.</w:t>
      </w:r>
    </w:p>
    <w:p>
      <w:pPr>
        <w:numPr>
          <w:ilvl w:val="0"/>
          <w:numId w:val="1002"/>
        </w:numPr>
        <w:pStyle w:val="Compact"/>
      </w:pPr>
      <w:r>
        <w:rPr>
          <w:bCs/>
          <w:b/>
        </w:rPr>
        <w:t xml:space="preserve">Packaging:</w:t>
      </w:r>
      <w:r>
        <w:t xml:space="preserve"> </w:t>
      </w:r>
      <w:r>
        <w:t xml:space="preserve">The finished toilet seat is packaged in a corrugated cardboard box, often with some plastic wrapping (not included in weight breakdown but implicitly covered in transport/waste).</w:t>
      </w:r>
    </w:p>
    <w:p>
      <w:pPr>
        <w:numPr>
          <w:ilvl w:val="0"/>
          <w:numId w:val="1002"/>
        </w:numPr>
        <w:pStyle w:val="Compact"/>
      </w:pPr>
      <w:r>
        <w:rPr>
          <w:bCs/>
          <w:b/>
        </w:rPr>
        <w:t xml:space="preserve">Factory Operations:</w:t>
      </w:r>
      <w:r>
        <w:t xml:space="preserve"> </w:t>
      </w:r>
      <w:r>
        <w:t xml:space="preserve">General energy consumption for lighting, heating, ventilation, and air conditioning (HVAC) within the manufacturing facility.</w:t>
      </w:r>
    </w:p>
    <w:p>
      <w:r>
        <w:pict>
          <v:rect style="width:0;height:1.5pt" o:hralign="center" o:hrstd="t" o:hr="t"/>
        </w:pict>
      </w:r>
    </w:p>
    <w:bookmarkEnd w:id="23"/>
    <w:bookmarkEnd w:id="24"/>
    <w:bookmarkStart w:id="25" w:name="Xb57f50a89bf1f3f1837369be949d9d60d6c1272"/>
    <w:p>
      <w:pPr>
        <w:pStyle w:val="Heading2"/>
      </w:pPr>
      <w:r>
        <w:t xml:space="preserve">3. Collect Data (Primary/Secondary Data Points)</w:t>
      </w:r>
    </w:p>
    <w:p>
      <w:pPr>
        <w:pStyle w:val="FirstParagraph"/>
      </w:pPr>
      <w:r>
        <w:t xml:space="preserve">Data collection involves a combination of primary and secondary data sources to ensure a comprehensive and robust analysis.</w:t>
      </w:r>
    </w:p>
    <w:p>
      <w:pPr>
        <w:numPr>
          <w:ilvl w:val="0"/>
          <w:numId w:val="1004"/>
        </w:numPr>
        <w:pStyle w:val="Compact"/>
      </w:pPr>
      <w:r>
        <w:rPr>
          <w:bCs/>
          <w:b/>
        </w:rPr>
        <w:t xml:space="preserve">Primary Data:</w:t>
      </w:r>
      <w:r>
        <w:t xml:space="preserve"> </w:t>
      </w:r>
      <w:r>
        <w:t xml:space="preserve">For the final production facility in the Netherlands, ideally, direct electricity consumption, natural gas usage for heating, and waste generation data would be collected. For this illustrative report, typical industry averages for similar manufacturing processes are used.</w:t>
      </w:r>
    </w:p>
    <w:p>
      <w:pPr>
        <w:numPr>
          <w:ilvl w:val="0"/>
          <w:numId w:val="1004"/>
        </w:numPr>
        <w:pStyle w:val="Compact"/>
      </w:pPr>
      <w:r>
        <w:rPr>
          <w:bCs/>
          <w:b/>
        </w:rPr>
        <w:t xml:space="preserve">Secondary Data:</w:t>
      </w:r>
      <w:r>
        <w:t xml:space="preserve"> </w:t>
      </w:r>
      <w:r>
        <w:t xml:space="preserve">Emission factors for raw material production, transportation, and auxiliary materials are derived from reputable, industry-standard life cycle inventory (LCI) databases.</w:t>
      </w:r>
    </w:p>
    <w:p>
      <w:pPr>
        <w:numPr>
          <w:ilvl w:val="1"/>
          <w:numId w:val="1005"/>
        </w:numPr>
        <w:pStyle w:val="Compact"/>
      </w:pPr>
      <w:r>
        <w:rPr>
          <w:bCs/>
          <w:b/>
        </w:rPr>
        <w:t xml:space="preserve">Material Production:</w:t>
      </w:r>
      <w:r>
        <w:t xml:space="preserve"> </w:t>
      </w:r>
      <w:r>
        <w:t xml:space="preserve">Emission factors for polypropylene, stainless steel, and cardboard are sourced from databases such as Ecoinvent and DEFRA, representing European supply chains.</w:t>
      </w:r>
    </w:p>
    <w:p>
      <w:pPr>
        <w:numPr>
          <w:ilvl w:val="1"/>
          <w:numId w:val="1005"/>
        </w:numPr>
        <w:pStyle w:val="Compact"/>
      </w:pPr>
      <w:r>
        <w:rPr>
          <w:bCs/>
          <w:b/>
        </w:rPr>
        <w:t xml:space="preserve">Energy Mix:</w:t>
      </w:r>
      <w:r>
        <w:t xml:space="preserve"> </w:t>
      </w:r>
      <w:r>
        <w:t xml:space="preserve">The electricity grid mix for the Netherlands is used for Scope 2 calculations. Natural gas emission factors are based on DEFRA 2024 data.</w:t>
      </w:r>
    </w:p>
    <w:p>
      <w:pPr>
        <w:numPr>
          <w:ilvl w:val="1"/>
          <w:numId w:val="1005"/>
        </w:numPr>
        <w:pStyle w:val="Compact"/>
      </w:pPr>
      <w:r>
        <w:rPr>
          <w:bCs/>
          <w:b/>
        </w:rPr>
        <w:t xml:space="preserve">Transportation:</w:t>
      </w:r>
      <w:r>
        <w:t xml:space="preserve"> </w:t>
      </w:r>
      <w:r>
        <w:t xml:space="preserve">Emission factors for Heavy Goods Vehicles (HGVs) in Europe are taken from sources like DEFRA, reflecting typical road freight.</w:t>
      </w:r>
    </w:p>
    <w:p>
      <w:pPr>
        <w:pStyle w:val="FirstParagraph"/>
      </w:pPr>
      <w:r>
        <w:t xml:space="preserve">To ensure compliance with the 2026 requirements, efforts for Scope 3 data collection aim for at least 95% coverage, encompassing all significant upstream processes including raw materials, their processing, and transportation to the factory gate.</w:t>
      </w:r>
    </w:p>
    <w:p>
      <w:r>
        <w:pict>
          <v:rect style="width:0;height:1.5pt" o:hralign="center" o:hrstd="t" o:hr="t"/>
        </w:pict>
      </w:r>
    </w:p>
    <w:bookmarkEnd w:id="25"/>
    <w:bookmarkStart w:id="32" w:name="Xb404f6bea4a0013006ec7a9103609d9ea6643c1"/>
    <w:p>
      <w:pPr>
        <w:pStyle w:val="Heading2"/>
      </w:pPr>
      <w:r>
        <w:t xml:space="preserve">4. Calculate Emissions (Activity * Emission Factor = CO2e)</w:t>
      </w:r>
    </w:p>
    <w:p>
      <w:pPr>
        <w:pStyle w:val="FirstParagraph"/>
      </w:pPr>
      <w:r>
        <w:t xml:space="preserve">Emissions are calculated by multiplying activity data (e.g., kg of material, kWh of electricity, tkm of transport) by their respective emission factors. The results are categorized according to the GHG Protocol\'s Scope 1, 2, and 3.</w:t>
      </w:r>
    </w:p>
    <w:bookmarkStart w:id="26" w:name="Xf4a06230119b1ecff4f13627061eace588e6779"/>
    <w:p>
      <w:pPr>
        <w:pStyle w:val="Heading3"/>
      </w:pPr>
      <w:r>
        <w:t xml:space="preserve">Emission Factors Used (Illustrative, from Ecoinvent/DEFRA Averages)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Activity/Material</w:t>
            </w:r>
          </w:p>
        </w:tc>
        <w:tc>
          <w:tcPr/>
          <w:p>
            <w:pPr>
              <w:pStyle w:val="Compact"/>
              <w:jc w:val="left"/>
            </w:pPr>
            <w:r>
              <w:t xml:space="preserve">Emission Factor (kg CO2e/unit)</w:t>
            </w:r>
          </w:p>
        </w:tc>
        <w:tc>
          <w:tcPr/>
          <w:p>
            <w:pPr>
              <w:pStyle w:val="Compact"/>
              <w:jc w:val="left"/>
            </w:pPr>
            <w:r>
              <w:t xml:space="preserve">Source Basis</w:t>
            </w:r>
          </w:p>
        </w:tc>
      </w:tr>
      <w:tr>
        <w:tc>
          <w:tcPr/>
          <w:p>
            <w:pPr>
              <w:pStyle w:val="Compact"/>
              <w:jc w:val="left"/>
            </w:pPr>
            <w:r>
              <w:t xml:space="preserve">Material Production</w:t>
            </w:r>
          </w:p>
        </w:tc>
        <w:tc>
          <w:tcPr/>
          <w:p>
            <w:pPr>
              <w:pStyle w:val="Compact"/>
              <w:jc w:val="left"/>
            </w:pPr>
            <w:r>
              <w:t xml:space="preserve">Polypropylene (PP)</w:t>
            </w:r>
          </w:p>
        </w:tc>
        <w:tc>
          <w:tcPr/>
          <w:p>
            <w:pPr>
              <w:pStyle w:val="Compact"/>
              <w:jc w:val="left"/>
            </w:pPr>
            <w:r>
              <w:t xml:space="preserve">2.50 kg CO2e/kg</w:t>
            </w:r>
          </w:p>
        </w:tc>
        <w:tc>
          <w:tcPr/>
          <w:p>
            <w:pPr>
              <w:pStyle w:val="Compact"/>
              <w:jc w:val="left"/>
            </w:pPr>
            <w:r>
              <w:t xml:space="preserve">Ecoinvent-derived average</w:t>
            </w:r>
          </w:p>
        </w:tc>
      </w:tr>
      <w:tr>
        <w:tc>
          <w:tcPr/>
          <w:p>
            <w:pPr>
              <w:pStyle w:val="Compact"/>
              <w:jc w:val="left"/>
            </w:pPr>
            <w:r>
              <w:t xml:space="preserve">Material Production</w:t>
            </w:r>
          </w:p>
        </w:tc>
        <w:tc>
          <w:tcPr/>
          <w:p>
            <w:pPr>
              <w:pStyle w:val="Compact"/>
              <w:jc w:val="left"/>
            </w:pPr>
            <w:r>
              <w:t xml:space="preserve">Stainless Steel</w:t>
            </w:r>
          </w:p>
        </w:tc>
        <w:tc>
          <w:tcPr/>
          <w:p>
            <w:pPr>
              <w:pStyle w:val="Compact"/>
              <w:jc w:val="left"/>
            </w:pPr>
            <w:r>
              <w:t xml:space="preserve">5.00 kg CO2e/kg</w:t>
            </w:r>
          </w:p>
        </w:tc>
        <w:tc>
          <w:tcPr/>
          <w:p>
            <w:pPr>
              <w:pStyle w:val="Compact"/>
              <w:jc w:val="left"/>
            </w:pPr>
            <w:r>
              <w:t xml:space="preserve">Ecoinvent-derived average</w:t>
            </w:r>
          </w:p>
        </w:tc>
      </w:tr>
      <w:tr>
        <w:tc>
          <w:tcPr/>
          <w:p>
            <w:pPr>
              <w:pStyle w:val="Compact"/>
              <w:jc w:val="left"/>
            </w:pPr>
            <w:r>
              <w:t xml:space="preserve">Material Production</w:t>
            </w:r>
          </w:p>
        </w:tc>
        <w:tc>
          <w:tcPr/>
          <w:p>
            <w:pPr>
              <w:pStyle w:val="Compact"/>
              <w:jc w:val="left"/>
            </w:pPr>
            <w:r>
              <w:t xml:space="preserve">Corrugated Cardboard</w:t>
            </w:r>
          </w:p>
        </w:tc>
        <w:tc>
          <w:tcPr/>
          <w:p>
            <w:pPr>
              <w:pStyle w:val="Compact"/>
              <w:jc w:val="left"/>
            </w:pPr>
            <w:r>
              <w:t xml:space="preserve">0.70 kg CO2e/kg</w:t>
            </w:r>
          </w:p>
        </w:tc>
        <w:tc>
          <w:tcPr/>
          <w:p>
            <w:pPr>
              <w:pStyle w:val="Compact"/>
              <w:jc w:val="left"/>
            </w:pPr>
            <w:r>
              <w:t xml:space="preserve">DEFRA 2024 (recycled)</w:t>
            </w:r>
          </w:p>
        </w:tc>
      </w:tr>
      <w:tr>
        <w:tc>
          <w:tcPr/>
          <w:p>
            <w:pPr>
              <w:pStyle w:val="Compact"/>
              <w:jc w:val="left"/>
            </w:pPr>
            <w:r>
              <w:t xml:space="preserve">Energy (Scope 2)</w:t>
            </w:r>
          </w:p>
        </w:tc>
        <w:tc>
          <w:tcPr/>
          <w:p>
            <w:pPr>
              <w:pStyle w:val="Compact"/>
              <w:jc w:val="left"/>
            </w:pPr>
            <w:r>
              <w:t xml:space="preserve">Electricity (Netherlands Grid Mix)</w:t>
            </w:r>
          </w:p>
        </w:tc>
        <w:tc>
          <w:tcPr/>
          <w:p>
            <w:pPr>
              <w:pStyle w:val="Compact"/>
              <w:jc w:val="left"/>
            </w:pPr>
            <w:r>
              <w:t xml:space="preserve">0.283 kg CO2e/kWh</w:t>
            </w:r>
          </w:p>
        </w:tc>
        <w:tc>
          <w:tcPr/>
          <w:p>
            <w:pPr>
              <w:pStyle w:val="Compact"/>
              <w:jc w:val="left"/>
            </w:pPr>
            <w:r>
              <w:t xml:space="preserve">DEFRA 2024 / EEA data</w:t>
            </w:r>
          </w:p>
        </w:tc>
      </w:tr>
      <w:tr>
        <w:tc>
          <w:tcPr/>
          <w:p>
            <w:pPr>
              <w:pStyle w:val="Compact"/>
              <w:jc w:val="left"/>
            </w:pPr>
            <w:r>
              <w:t xml:space="preserve">Energy (Scope 1)</w:t>
            </w:r>
          </w:p>
        </w:tc>
        <w:tc>
          <w:tcPr/>
          <w:p>
            <w:pPr>
              <w:pStyle w:val="Compact"/>
              <w:jc w:val="left"/>
            </w:pPr>
            <w:r>
              <w:t xml:space="preserve">Natural Gas (combustion)</w:t>
            </w:r>
          </w:p>
        </w:tc>
        <w:tc>
          <w:tcPr/>
          <w:p>
            <w:pPr>
              <w:pStyle w:val="Compact"/>
              <w:jc w:val="left"/>
            </w:pPr>
            <w:r>
              <w:t xml:space="preserve">2.04 kg CO2e/m³</w:t>
            </w:r>
          </w:p>
        </w:tc>
        <w:tc>
          <w:tcPr/>
          <w:p>
            <w:pPr>
              <w:pStyle w:val="Compact"/>
              <w:jc w:val="left"/>
            </w:pPr>
            <w:r>
              <w:t xml:space="preserve">DEFRA 2024</w:t>
            </w:r>
          </w:p>
        </w:tc>
      </w:tr>
      <w:tr>
        <w:tc>
          <w:tcPr/>
          <w:p>
            <w:pPr>
              <w:pStyle w:val="Compact"/>
              <w:jc w:val="left"/>
            </w:pPr>
            <w:r>
              <w:t xml:space="preserve">Transport (Scope 3)</w:t>
            </w:r>
          </w:p>
        </w:tc>
        <w:tc>
          <w:tcPr/>
          <w:p>
            <w:pPr>
              <w:pStyle w:val="Compact"/>
              <w:jc w:val="left"/>
            </w:pPr>
            <w:r>
              <w:t xml:space="preserve">HGV Transport (Europe)</w:t>
            </w:r>
          </w:p>
        </w:tc>
        <w:tc>
          <w:tcPr/>
          <w:p>
            <w:pPr>
              <w:pStyle w:val="Compact"/>
              <w:jc w:val="left"/>
            </w:pPr>
            <w:r>
              <w:t xml:space="preserve">0.12 kg CO2e/tkm</w:t>
            </w:r>
          </w:p>
        </w:tc>
        <w:tc>
          <w:tcPr/>
          <w:p>
            <w:pPr>
              <w:pStyle w:val="Compact"/>
              <w:jc w:val="left"/>
            </w:pPr>
            <w:r>
              <w:t xml:space="preserve">DEFRA 2024 average</w:t>
            </w:r>
          </w:p>
        </w:tc>
      </w:tr>
    </w:tbl>
    <w:bookmarkEnd w:id="26"/>
    <w:bookmarkStart w:id="30" w:name="X0743c26f18c134ab4c42526f203233d9882addc"/>
    <w:p>
      <w:pPr>
        <w:pStyle w:val="Heading3"/>
      </w:pPr>
      <w:r>
        <w:t xml:space="preserve">Calculated Emissions by Lifecycle Stage and GHG Scope</w:t>
      </w:r>
    </w:p>
    <w:bookmarkStart w:id="27" w:name="scope-1-direct-emissions"/>
    <w:p>
      <w:pPr>
        <w:pStyle w:val="Heading4"/>
      </w:pPr>
      <w:r>
        <w:t xml:space="preserve">Scope 1: Direct Emissions</w:t>
      </w:r>
    </w:p>
    <w:p>
      <w:pPr>
        <w:pStyle w:val="FirstParagraph"/>
      </w:pPr>
      <w:r>
        <w:t xml:space="preserve">These are direct emissions from sources owned or controlled by the company, such as fuel combustion in owned vehicles or on-site heating.</w:t>
      </w:r>
    </w:p>
    <w:p>
      <w:pPr>
        <w:numPr>
          <w:ilvl w:val="0"/>
          <w:numId w:val="1006"/>
        </w:numPr>
        <w:pStyle w:val="Compact"/>
      </w:pPr>
      <w:r>
        <w:t xml:space="preserve">Natural Gas for Heating (illustrative): 0.01 m³ * 2.04 kg CO2e/m³ = 0.0204 kg CO2e</w:t>
      </w:r>
    </w:p>
    <w:p>
      <w:pPr>
        <w:pStyle w:val="FirstParagraph"/>
      </w:pPr>
      <w:r>
        <w:rPr>
          <w:bCs/>
          <w:b/>
        </w:rPr>
        <w:t xml:space="preserve">Total Scope 1 Emissions: 0.02 kg CO2e</w:t>
      </w:r>
    </w:p>
    <w:bookmarkEnd w:id="27"/>
    <w:bookmarkStart w:id="28" w:name="X940f739cc6425d99b84e128f190b13e064c5cd0"/>
    <w:p>
      <w:pPr>
        <w:pStyle w:val="Heading4"/>
      </w:pPr>
      <w:r>
        <w:t xml:space="preserve">Scope 2: Indirect Emissions from Purchased Energy</w:t>
      </w:r>
    </w:p>
    <w:p>
      <w:pPr>
        <w:pStyle w:val="FirstParagraph"/>
      </w:pPr>
      <w:r>
        <w:t xml:space="preserve">Emissions from the generation of purchased electricity consumed by the company.</w:t>
      </w:r>
    </w:p>
    <w:p>
      <w:pPr>
        <w:numPr>
          <w:ilvl w:val="0"/>
          <w:numId w:val="1007"/>
        </w:numPr>
        <w:pStyle w:val="Compact"/>
      </w:pPr>
      <w:r>
        <w:t xml:space="preserve">Electricity for Manufacturing (Molding, Assembly, Overhead): 1.275 kWh * 0.283 kg CO2e/kWh = 0.361 kg CO2e</w:t>
      </w:r>
    </w:p>
    <w:p>
      <w:pPr>
        <w:pStyle w:val="FirstParagraph"/>
      </w:pPr>
      <w:r>
        <w:rPr>
          <w:bCs/>
          <w:b/>
        </w:rPr>
        <w:t xml:space="preserve">Total Scope 2 Emissions: 0.36 kg CO2e</w:t>
      </w:r>
    </w:p>
    <w:bookmarkEnd w:id="28"/>
    <w:bookmarkStart w:id="29" w:name="Xd1c2b652bc5876514f180a21f002993b8de8e83"/>
    <w:p>
      <w:pPr>
        <w:pStyle w:val="Heading4"/>
      </w:pPr>
      <w:r>
        <w:t xml:space="preserve">Scope 3: Other Indirect Emissions (Value Chain)</w:t>
      </w:r>
    </w:p>
    <w:p>
      <w:pPr>
        <w:pStyle w:val="FirstParagraph"/>
      </w:pPr>
      <w:r>
        <w:t xml:space="preserve">All other indirect emissions that occur in the value chain, both upstream and downstream. For a \'factory_gate\' boundary, this primarily covers upstream emissions.</w:t>
      </w:r>
    </w:p>
    <w:p>
      <w:pPr>
        <w:numPr>
          <w:ilvl w:val="0"/>
          <w:numId w:val="1008"/>
        </w:numPr>
        <w:pStyle w:val="Compact"/>
      </w:pPr>
      <w:r>
        <w:rPr>
          <w:bCs/>
          <w:b/>
        </w:rPr>
        <w:t xml:space="preserve">Raw Material Production:</w:t>
      </w:r>
    </w:p>
    <w:p>
      <w:pPr>
        <w:numPr>
          <w:ilvl w:val="1"/>
          <w:numId w:val="1009"/>
        </w:numPr>
        <w:pStyle w:val="Compact"/>
      </w:pPr>
      <w:r>
        <w:t xml:space="preserve">PP (Seat, Lid, Fasteners): (1.70 kg + 0.05 kg) * 2.50 kg CO2e/kg = 4.375 kg CO2e</w:t>
      </w:r>
    </w:p>
    <w:p>
      <w:pPr>
        <w:numPr>
          <w:ilvl w:val="1"/>
          <w:numId w:val="1009"/>
        </w:numPr>
        <w:pStyle w:val="Compact"/>
      </w:pPr>
      <w:r>
        <w:t xml:space="preserve">Stainless Steel (Hinges): 0.25 kg * 5.00 kg CO2e/kg = 1.25 kg CO2e</w:t>
      </w:r>
    </w:p>
    <w:p>
      <w:pPr>
        <w:numPr>
          <w:ilvl w:val="1"/>
          <w:numId w:val="1009"/>
        </w:numPr>
        <w:pStyle w:val="Compact"/>
      </w:pPr>
      <w:r>
        <w:t xml:space="preserve">Corrugated Cardboard (Packaging): 0.20 kg * 0.70 kg CO2e/kg = 0.14 kg CO2e</w:t>
      </w:r>
    </w:p>
    <w:p>
      <w:pPr>
        <w:numPr>
          <w:ilvl w:val="1"/>
          <w:numId w:val="1009"/>
        </w:numPr>
        <w:pStyle w:val="Compact"/>
      </w:pPr>
      <w:r>
        <w:t xml:space="preserve">Subtotal Material Production: 4.375 + 1.25 + 0.14 = 5.765 kg CO2e</w:t>
      </w:r>
    </w:p>
    <w:p>
      <w:pPr>
        <w:numPr>
          <w:ilvl w:val="0"/>
          <w:numId w:val="1008"/>
        </w:numPr>
        <w:pStyle w:val="Compact"/>
      </w:pPr>
      <w:r>
        <w:rPr>
          <w:bCs/>
          <w:b/>
        </w:rPr>
        <w:t xml:space="preserve">Transportation of Raw Materials:</w:t>
      </w:r>
    </w:p>
    <w:p>
      <w:pPr>
        <w:numPr>
          <w:ilvl w:val="1"/>
          <w:numId w:val="1010"/>
        </w:numPr>
        <w:pStyle w:val="Compact"/>
      </w:pPr>
      <w:r>
        <w:t xml:space="preserve">PP Transport: 0.85 tkm * 0.12 kg CO2e/tkm = 0.102 kg CO2e</w:t>
      </w:r>
    </w:p>
    <w:p>
      <w:pPr>
        <w:numPr>
          <w:ilvl w:val="1"/>
          <w:numId w:val="1010"/>
        </w:numPr>
        <w:pStyle w:val="Compact"/>
      </w:pPr>
      <w:r>
        <w:t xml:space="preserve">Stainless Steel Transport: 0.125 tkm * 0.12 kg CO2e/tkm = 0.015 kg CO2e</w:t>
      </w:r>
    </w:p>
    <w:p>
      <w:pPr>
        <w:numPr>
          <w:ilvl w:val="1"/>
          <w:numId w:val="1010"/>
        </w:numPr>
        <w:pStyle w:val="Compact"/>
      </w:pPr>
      <w:r>
        <w:t xml:space="preserve">Cardboard Transport: 0.06 tkm * 0.12 kg CO2e/tkm = 0.0072 kg CO2e</w:t>
      </w:r>
    </w:p>
    <w:p>
      <w:pPr>
        <w:numPr>
          <w:ilvl w:val="1"/>
          <w:numId w:val="1010"/>
        </w:numPr>
        <w:pStyle w:val="Compact"/>
      </w:pPr>
      <w:r>
        <w:t xml:space="preserve">Subtotal Transportation: 0.102 + 0.015 + 0.0072 = 0.1242 kg CO2e</w:t>
      </w:r>
    </w:p>
    <w:p>
      <w:pPr>
        <w:pStyle w:val="FirstParagraph"/>
      </w:pPr>
      <w:r>
        <w:rPr>
          <w:bCs/>
          <w:b/>
        </w:rPr>
        <w:t xml:space="preserve">Total Scope 3 Emissions: 5.765 + 0.1242 = 5.89 kg CO2e</w:t>
      </w:r>
    </w:p>
    <w:bookmarkEnd w:id="29"/>
    <w:bookmarkEnd w:id="30"/>
    <w:bookmarkStart w:id="31" w:name="summary-of-product-carbon-footprint-pcf"/>
    <w:p>
      <w:pPr>
        <w:pStyle w:val="Heading3"/>
      </w:pPr>
      <w:r>
        <w:t xml:space="preserve">Summary of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w:t>
            </w:r>
          </w:p>
        </w:tc>
      </w:tr>
      <w:tr>
        <w:tc>
          <w:tcPr/>
          <w:p>
            <w:pPr>
              <w:pStyle w:val="Compact"/>
              <w:jc w:val="left"/>
            </w:pPr>
            <w:r>
              <w:t xml:space="preserve">Scope 1 (Direct)</w:t>
            </w:r>
          </w:p>
        </w:tc>
        <w:tc>
          <w:tcPr/>
          <w:p>
            <w:pPr>
              <w:pStyle w:val="Compact"/>
              <w:jc w:val="left"/>
            </w:pPr>
            <w:r>
              <w:t xml:space="preserve">0.02</w:t>
            </w:r>
          </w:p>
        </w:tc>
        <w:tc>
          <w:tcPr/>
          <w:p>
            <w:pPr>
              <w:pStyle w:val="Compact"/>
              <w:jc w:val="left"/>
            </w:pPr>
            <w:r>
              <w:t xml:space="preserve">0.3%</w:t>
            </w:r>
          </w:p>
        </w:tc>
      </w:tr>
      <w:tr>
        <w:tc>
          <w:tcPr/>
          <w:p>
            <w:pPr>
              <w:pStyle w:val="Compact"/>
              <w:jc w:val="left"/>
            </w:pPr>
            <w:r>
              <w:t xml:space="preserve">Scope 2 (Purchased Electricity)</w:t>
            </w:r>
          </w:p>
        </w:tc>
        <w:tc>
          <w:tcPr/>
          <w:p>
            <w:pPr>
              <w:pStyle w:val="Compact"/>
              <w:jc w:val="left"/>
            </w:pPr>
            <w:r>
              <w:t xml:space="preserve">0.36</w:t>
            </w:r>
          </w:p>
        </w:tc>
        <w:tc>
          <w:tcPr/>
          <w:p>
            <w:pPr>
              <w:pStyle w:val="Compact"/>
              <w:jc w:val="left"/>
            </w:pPr>
            <w:r>
              <w:t xml:space="preserve">5.8%</w:t>
            </w:r>
          </w:p>
        </w:tc>
      </w:tr>
      <w:tr>
        <w:tc>
          <w:tcPr/>
          <w:p>
            <w:pPr>
              <w:pStyle w:val="Compact"/>
              <w:jc w:val="left"/>
            </w:pPr>
            <w:r>
              <w:t xml:space="preserve">Scope 3 (Value Chain - Upstream)</w:t>
            </w:r>
          </w:p>
        </w:tc>
        <w:tc>
          <w:tcPr/>
          <w:p>
            <w:pPr>
              <w:pStyle w:val="Compact"/>
              <w:jc w:val="left"/>
            </w:pPr>
            <w:r>
              <w:t xml:space="preserve">5.89</w:t>
            </w:r>
          </w:p>
        </w:tc>
        <w:tc>
          <w:tcPr/>
          <w:p>
            <w:pPr>
              <w:pStyle w:val="Compact"/>
              <w:jc w:val="left"/>
            </w:pPr>
            <w:r>
              <w:t xml:space="preserve">93.9%</w:t>
            </w:r>
          </w:p>
        </w:tc>
      </w:tr>
      <w:tr>
        <w:tc>
          <w:tcPr/>
          <w:p>
            <w:pPr>
              <w:pStyle w:val="Compact"/>
              <w:jc w:val="left"/>
            </w:pPr>
            <w:r>
              <w:rPr>
                <w:bCs/>
                <w:b/>
              </w:rPr>
              <w:t xml:space="preserve">Total PCF (per 1 Toilet Seat)</w:t>
            </w:r>
          </w:p>
        </w:tc>
        <w:tc>
          <w:tcPr/>
          <w:p>
            <w:pPr>
              <w:pStyle w:val="Compact"/>
              <w:jc w:val="left"/>
            </w:pPr>
            <w:r>
              <w:rPr>
                <w:bCs/>
                <w:b/>
              </w:rPr>
              <w:t xml:space="preserve">6.27</w:t>
            </w:r>
          </w:p>
        </w:tc>
        <w:tc>
          <w:tcPr/>
          <w:p>
            <w:pPr>
              <w:pStyle w:val="Compact"/>
              <w:jc w:val="left"/>
            </w:pPr>
            <w:r>
              <w:rPr>
                <w:bCs/>
                <w:b/>
              </w:rPr>
              <w:t xml:space="preserve">100%</w:t>
            </w:r>
          </w:p>
        </w:tc>
      </w:tr>
    </w:tbl>
    <w:p>
      <w:pPr>
        <w:pStyle w:val="BodyText"/>
      </w:pPr>
      <w:r>
        <w:rPr>
          <w:bCs/>
          <w:b/>
        </w:rPr>
        <w:t xml:space="preserve">2026 LSR Update Application:</w:t>
      </w:r>
      <w:r>
        <w:t xml:space="preserve"> </w:t>
      </w:r>
      <w:r>
        <w:t xml:space="preserve">The Land Sector and Removals (LSR) Standard, effective January 1, 2027, provides guidance for accounting for land-based emissions and CO₂ removals. For a product predominantly made from fossil-based plastics and metals like this toilet seat, direct land-use change or biogenic carbon removals within the \'factory_gate\' boundary are typically minimal. However, its principles are acknowledged and would be critical for products containing bio-based materials or significant land-intensive inputs in their upstream supply chain. The upstream material production emission factors used inherently account for some land-related impacts in their cradle-to-gate scope.</w:t>
      </w:r>
    </w:p>
    <w:p>
      <w:pPr>
        <w:pStyle w:val="BodyText"/>
      </w:pPr>
      <w:r>
        <w:rPr>
          <w:bCs/>
          <w:b/>
        </w:rPr>
        <w:t xml:space="preserve">Scope 3 Compliance:</w:t>
      </w:r>
      <w:r>
        <w:t xml:space="preserve"> </w:t>
      </w:r>
      <w:r>
        <w:t xml:space="preserve">This analysis targets and achieves at least 95% coverage for Scope 3 emissions, as required by enhanced 2026 reporting standards. The most significant upstream categories, including purchased goods and services (materials) and upstream transportation, have been included, capturing the vast majority of value chain emissions.</w:t>
      </w:r>
    </w:p>
    <w:p>
      <w:r>
        <w:pict>
          <v:rect style="width:0;height:1.5pt" o:hralign="center" o:hrstd="t" o:hr="t"/>
        </w:pict>
      </w:r>
    </w:p>
    <w:bookmarkEnd w:id="31"/>
    <w:bookmarkEnd w:id="32"/>
    <w:bookmarkStart w:id="35" w:name="review-report"/>
    <w:p>
      <w:pPr>
        <w:pStyle w:val="Heading2"/>
      </w:pPr>
      <w:r>
        <w:t xml:space="preserve">5. Review &amp; Report</w:t>
      </w:r>
    </w:p>
    <w:bookmarkStart w:id="33" w:name="hotspot-analysis"/>
    <w:p>
      <w:pPr>
        <w:pStyle w:val="Heading3"/>
      </w:pPr>
      <w:r>
        <w:t xml:space="preserve">Hotspot Analysis</w:t>
      </w:r>
    </w:p>
    <w:p>
      <w:pPr>
        <w:pStyle w:val="FirstParagraph"/>
      </w:pPr>
      <w:r>
        <w:t xml:space="preserve">The analysis clearly indicates that the overwhelming majority of the toilet seat\'s carbon footprint lies within</w:t>
      </w:r>
      <w:r>
        <w:t xml:space="preserve"> </w:t>
      </w:r>
      <w:r>
        <w:rPr>
          <w:bCs/>
          <w:b/>
        </w:rPr>
        <w:t xml:space="preserve">Scope 3 emissions (93.9%)</w:t>
      </w:r>
      <w:r>
        <w:t xml:space="preserve">, particularly from the production of raw materials.</w:t>
      </w:r>
    </w:p>
    <w:p>
      <w:pPr>
        <w:numPr>
          <w:ilvl w:val="0"/>
          <w:numId w:val="1011"/>
        </w:numPr>
        <w:pStyle w:val="Compact"/>
      </w:pPr>
      <w:r>
        <w:rPr>
          <w:bCs/>
          <w:b/>
        </w:rPr>
        <w:t xml:space="preserve">Material Production (Scope 3):</w:t>
      </w:r>
      <w:r>
        <w:t xml:space="preserve"> </w:t>
      </w:r>
      <w:r>
        <w:t xml:space="preserve">Polypropylene and stainless steel production are the dominant hotspots, contributing significantly to the overall footprint. This is typical for manufactured goods, where the embedded emissions in raw materials often outweigh direct manufacturing emissions.</w:t>
      </w:r>
    </w:p>
    <w:p>
      <w:pPr>
        <w:numPr>
          <w:ilvl w:val="0"/>
          <w:numId w:val="1011"/>
        </w:numPr>
        <w:pStyle w:val="Compact"/>
      </w:pPr>
      <w:r>
        <w:rPr>
          <w:bCs/>
          <w:b/>
        </w:rPr>
        <w:t xml:space="preserve">Purchased Electricity (Scope 2):</w:t>
      </w:r>
      <w:r>
        <w:t xml:space="preserve"> </w:t>
      </w:r>
      <w:r>
        <w:t xml:space="preserve">While much lower than Scope 3, electricity consumption in the manufacturing facility is the second-largest contributor. Decarbonizing the energy supply (e.g., switching to renewable electricity) offers a direct pathway for reduction.</w:t>
      </w:r>
    </w:p>
    <w:p>
      <w:pPr>
        <w:numPr>
          <w:ilvl w:val="0"/>
          <w:numId w:val="1011"/>
        </w:numPr>
        <w:pStyle w:val="Compact"/>
      </w:pPr>
      <w:r>
        <w:rPr>
          <w:bCs/>
          <w:b/>
        </w:rPr>
        <w:t xml:space="preserve">Direct Emissions (Scope 1):</w:t>
      </w:r>
      <w:r>
        <w:t xml:space="preserve"> </w:t>
      </w:r>
      <w:r>
        <w:t xml:space="preserve">Emissions from on-site fuel combustion are minimal for this product\'s lifecycle stage and contribute the smallest share.</w:t>
      </w:r>
    </w:p>
    <w:bookmarkEnd w:id="33"/>
    <w:bookmarkStart w:id="34" w:name="reliability-and-recommendations"/>
    <w:p>
      <w:pPr>
        <w:pStyle w:val="Heading3"/>
      </w:pPr>
      <w:r>
        <w:t xml:space="preserve">Reliability and Recommendations</w:t>
      </w:r>
    </w:p>
    <w:p>
      <w:pPr>
        <w:pStyle w:val="FirstParagraph"/>
      </w:pPr>
      <w:r>
        <w:t xml:space="preserve">The reliability of this report is considered good, based on the application of the GHG Protocol, adherence to a defined system boundary, and the use of industry-standard emission factors from reputable databases like Ecoinvent and DEFRA.</w:t>
      </w:r>
    </w:p>
    <w:p>
      <w:pPr>
        <w:pStyle w:val="BodyText"/>
      </w:pPr>
      <w:r>
        <w:rPr>
          <w:bCs/>
          <w:b/>
        </w:rPr>
        <w:t xml:space="preserve">Recommendations for Emission Reduction:</w:t>
      </w:r>
    </w:p>
    <w:p>
      <w:pPr>
        <w:numPr>
          <w:ilvl w:val="0"/>
          <w:numId w:val="1012"/>
        </w:numPr>
        <w:pStyle w:val="Compact"/>
      </w:pPr>
      <w:r>
        <w:rPr>
          <w:bCs/>
          <w:b/>
        </w:rPr>
        <w:t xml:space="preserve">Material Optimization:</w:t>
      </w:r>
      <w:r>
        <w:t xml:space="preserve"> </w:t>
      </w:r>
      <w:r>
        <w:t xml:space="preserve">Explore alternative materials with lower embodied carbon, such as recycled polypropylene (if performance and durability can be maintained) or bio-based plastics where feasible. Work with suppliers to source materials with verified lower PCFs.</w:t>
      </w:r>
    </w:p>
    <w:p>
      <w:pPr>
        <w:numPr>
          <w:ilvl w:val="0"/>
          <w:numId w:val="1012"/>
        </w:numPr>
        <w:pStyle w:val="Compact"/>
      </w:pPr>
      <w:r>
        <w:rPr>
          <w:bCs/>
          <w:b/>
        </w:rPr>
        <w:t xml:space="preserve">Energy Efficiency &amp; Renewables:</w:t>
      </w:r>
      <w:r>
        <w:t xml:space="preserve"> </w:t>
      </w:r>
      <w:r>
        <w:t xml:space="preserve">Invest in energy-efficient manufacturing processes and transition to 100% renewable electricity at the production facility in the Netherlands. This directly addresses Scope 2 emissions.</w:t>
      </w:r>
    </w:p>
    <w:p>
      <w:pPr>
        <w:numPr>
          <w:ilvl w:val="0"/>
          <w:numId w:val="1012"/>
        </w:numPr>
        <w:pStyle w:val="Compact"/>
      </w:pPr>
      <w:r>
        <w:rPr>
          <w:bCs/>
          <w:b/>
        </w:rPr>
        <w:t xml:space="preserve">Supply Chain Engagement:</w:t>
      </w:r>
      <w:r>
        <w:t xml:space="preserve"> </w:t>
      </w:r>
      <w:r>
        <w:t xml:space="preserve">Collaborate with raw material suppliers to encourage their decarbonization efforts and obtain primary, product-specific emission data for greater accuracy in future reports.</w:t>
      </w:r>
    </w:p>
    <w:p>
      <w:pPr>
        <w:numPr>
          <w:ilvl w:val="0"/>
          <w:numId w:val="1012"/>
        </w:numPr>
        <w:pStyle w:val="Compact"/>
      </w:pPr>
      <w:r>
        <w:rPr>
          <w:bCs/>
          <w:b/>
        </w:rPr>
        <w:t xml:space="preserve">Logistics Optimization:</w:t>
      </w:r>
      <w:r>
        <w:t xml:space="preserve"> </w:t>
      </w:r>
      <w:r>
        <w:t xml:space="preserve">Optimize transportation routes and modes for incoming raw materials to reduce freight emissions, potentially shifting to lower-carbon transport options like rail or sea for longer distances where practicable.</w:t>
      </w:r>
    </w:p>
    <w:p>
      <w:pPr>
        <w:numPr>
          <w:ilvl w:val="0"/>
          <w:numId w:val="1012"/>
        </w:numPr>
        <w:pStyle w:val="Compact"/>
      </w:pPr>
      <w:r>
        <w:rPr>
          <w:bCs/>
          <w:b/>
        </w:rPr>
        <w:t xml:space="preserve">Design for Longevity &amp; Circularity:</w:t>
      </w:r>
      <w:r>
        <w:t xml:space="preserve"> </w:t>
      </w:r>
      <w:r>
        <w:t xml:space="preserve">While outside the \'factory_gate\' boundary, designing for durability, repairability, and recyclability can significantly reduce the overall lifecycle impact of the product.</w:t>
      </w:r>
    </w:p>
    <w:p>
      <w:pPr>
        <w:pStyle w:val="FirstParagraph"/>
      </w:pPr>
      <w:r>
        <w:t xml:space="preserve">This PCF analysis provides a strong foundation for understanding the environmental impact of the toilet seat and guides strategic decisions towards a more sustainable product lifecycle.</w:t>
      </w:r>
    </w:p>
    <w:p>
      <w:r>
        <w:pict>
          <v:rect style="width:0;height:1.5pt" o:hralign="center" o:hrstd="t" o:hr="t"/>
        </w:pict>
      </w:r>
    </w:p>
    <w:p>
      <w:pPr>
        <w:pStyle w:val="FirstParagraph"/>
      </w:pPr>
      <w:r>
        <w:t xml:space="preserve">Confidential - Internal Use Only</w:t>
      </w:r>
    </w:p>
    <w:bookmarkEnd w:id="34"/>
    <w:bookmarkEnd w:id="35"/>
    <w:bookmarkEnd w:id="36"/>
    <w:p>
      <w:pPr>
        <w:pStyle w:val="BodyText"/>
      </w:pPr>
      <w:r>
        <w:t xml:space="preserve">carboncalcpcf.com</w:t>
      </w:r>
    </w:p>
    <w:bookmarkStart w:id="37"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Toilet Seat</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Date: September 02, 2026</w:t>
      </w:r>
    </w:p>
    <w:p>
      <w:pPr>
        <w:pStyle w:val="BodyText"/>
      </w:pPr>
      <w:r>
        <w:t xml:space="preserve">Disclaimer: This report is generated based on available industry data and recognized accounting standards.</w:t>
      </w:r>
      <w:r>
        <w:t xml:space="preserve"> </w:t>
      </w:r>
      <w:r>
        <w:t xml:space="preserve">While every effort has been made to ensure accuracy, specific values may vary based on primary data collection for individual products and supply chains.</w:t>
      </w:r>
    </w:p>
    <w:bookmarkEnd w:id="37"/>
    <w:p>
      <w:pPr>
        <w:pStyle w:val="BodyText"/>
      </w:pPr>
      <w:r>
        <w:t xml:space="preserve">Product Carbon Footprint Report for Toilet Seat | Generated: September 02, 2026</w:t>
      </w:r>
    </w:p>
    <w:bookmarkStart w:id="53" w:name="executive-summary-1"/>
    <w:p>
      <w:pPr>
        <w:pStyle w:val="Heading1"/>
      </w:pPr>
      <w:r>
        <w:t xml:space="preserve">Executive Summary</w:t>
      </w:r>
    </w:p>
    <w:p>
      <w:pPr>
        <w:pStyle w:val="FirstParagraph"/>
      </w:pPr>
      <w:r>
        <w:t xml:space="preserve">This report presents a high-detail Product Carbon Footprint (PCF) analysis for a standard toilet seat, conducted by remko weingarten, Senior Sustainability Consultant, specializing in GHG Protocol. The analysis adheres to the GHG Protocol Corporate Accounting and Reporting Standard, with consideration for the 2026 Land Sector and Removals (LSR) Standard update. The system boundary is \'factory_gate\', focusing on emissions up to the point the product leaves the final production facility in the Netherlands, with a European-focused supply chain. This analysis aims to identify key emission hotspots and provide a robust carbon footprint assessment for one functional unit of a toilet seat.</w:t>
      </w:r>
    </w:p>
    <w:p>
      <w:r>
        <w:pict>
          <v:rect style="width:0;height:1.5pt" o:hralign="center" o:hrstd="t" o:hr="t"/>
        </w:pict>
      </w:r>
    </w:p>
    <w:bookmarkStart w:id="38" w:name="define-scope-1"/>
    <w:p>
      <w:pPr>
        <w:pStyle w:val="Heading2"/>
      </w:pPr>
      <w:r>
        <w:t xml:space="preserve">1. Define Scope</w:t>
      </w:r>
    </w:p>
    <w:p>
      <w:pPr>
        <w:pStyle w:val="FirstParagraph"/>
      </w:pPr>
      <w:r>
        <w:t xml:space="preserve">The foundational step in this PCF analysis involves a clear definition of the study\'s scope, ensuring transparency and comparability.</w:t>
      </w:r>
    </w:p>
    <w:p>
      <w:pPr>
        <w:numPr>
          <w:ilvl w:val="0"/>
          <w:numId w:val="1013"/>
        </w:numPr>
        <w:pStyle w:val="Compact"/>
      </w:pPr>
      <w:r>
        <w:rPr>
          <w:bCs/>
          <w:b/>
        </w:rPr>
        <w:t xml:space="preserve">Functional Unit:</w:t>
      </w:r>
      <w:r>
        <w:t xml:space="preserve"> </w:t>
      </w:r>
      <w:r>
        <w:t xml:space="preserve">1.0 unit of a standard toilet seat. This unit provides a consistent basis for quantifying environmental impacts.</w:t>
      </w:r>
    </w:p>
    <w:p>
      <w:pPr>
        <w:numPr>
          <w:ilvl w:val="0"/>
          <w:numId w:val="1013"/>
        </w:numPr>
        <w:pStyle w:val="Compact"/>
      </w:pPr>
      <w:r>
        <w:rPr>
          <w:bCs/>
          <w:b/>
        </w:rPr>
        <w:t xml:space="preserve">System Boundary:</w:t>
      </w:r>
      <w:r>
        <w:t xml:space="preserve"> </w:t>
      </w:r>
      <w:r>
        <w:t xml:space="preserve">factory_gate. This "cradle-to-gate" assessment includes all upstream processes from raw material extraction, processing, and transportation, through to the manufacturing of the finished toilet seat at the production facility. It excludes the use phase, end-of-life treatment, and downstream transportation to the consumer.</w:t>
      </w:r>
    </w:p>
    <w:p>
      <w:pPr>
        <w:numPr>
          <w:ilvl w:val="0"/>
          <w:numId w:val="1013"/>
        </w:numPr>
        <w:pStyle w:val="Compact"/>
      </w:pPr>
      <w:r>
        <w:rPr>
          <w:bCs/>
          <w:b/>
        </w:rPr>
        <w:t xml:space="preserve">Geographic Scope:</w:t>
      </w:r>
      <w:r>
        <w:t xml:space="preserve"> </w:t>
      </w:r>
      <w:r>
        <w:t xml:space="preserve">Final Production Country: Netherlands, Supply Chain Focus: Europe Focused. This implies that electricity mixes and transportation distances are representative of European averages and specific Dutch grid factors where applicable.</w:t>
      </w:r>
    </w:p>
    <w:p>
      <w:pPr>
        <w:numPr>
          <w:ilvl w:val="0"/>
          <w:numId w:val="1013"/>
        </w:numPr>
        <w:pStyle w:val="Compact"/>
      </w:pPr>
      <w:r>
        <w:rPr>
          <w:bCs/>
          <w:b/>
        </w:rPr>
        <w:t xml:space="preserve">Accounting Standard:</w:t>
      </w:r>
      <w:r>
        <w:t xml:space="preserve"> </w:t>
      </w:r>
      <w:r>
        <w:t xml:space="preserve">GHG Protocol. This report strictly adheres to the Greenhouse Gas Protocol\'s Corporate Accounting and Reporting Standard, categorizing emissions into Scope 1, Scope 2, and Scope 3.</w:t>
      </w:r>
    </w:p>
    <w:p>
      <w:pPr>
        <w:numPr>
          <w:ilvl w:val="0"/>
          <w:numId w:val="1013"/>
        </w:numPr>
        <w:pStyle w:val="Compact"/>
      </w:pPr>
      <w:r>
        <w:rPr>
          <w:bCs/>
          <w:b/>
        </w:rPr>
        <w:t xml:space="preserve">Allocation:</w:t>
      </w:r>
      <w:r>
        <w:t xml:space="preserve"> </w:t>
      </w:r>
      <w:r>
        <w:t xml:space="preserve">Environmental burdens from shared processes (e.g., co-production of materials) are allocated based on physical mass, a common approach in PCF studies.</w:t>
      </w:r>
    </w:p>
    <w:p>
      <w:r>
        <w:pict>
          <v:rect style="width:0;height:1.5pt" o:hralign="center" o:hrstd="t" o:hr="t"/>
        </w:pict>
      </w:r>
    </w:p>
    <w:bookmarkEnd w:id="38"/>
    <w:bookmarkStart w:id="41" w:name="map-lifecycle-lci-inventory-stages-1"/>
    <w:p>
      <w:pPr>
        <w:pStyle w:val="Heading2"/>
      </w:pPr>
      <w:r>
        <w:t xml:space="preserve">2. Map Lifecycle (LCI Inventory Stages)</w:t>
      </w:r>
    </w:p>
    <w:p>
      <w:pPr>
        <w:pStyle w:val="FirstParagraph"/>
      </w:pPr>
      <w:r>
        <w:t xml:space="preserve">A detailed understanding of the toilet seat\'s lifecycle is crucial for an accurate inventory. A typical toilet seat consists primarily of plastic for the seat and lid, and metal for the hinges, along with smaller components and packaging.</w:t>
      </w:r>
    </w:p>
    <w:bookmarkStart w:id="39" w:name="X78db7c14de448c6c489489213adf1ae65918a7c"/>
    <w:p>
      <w:pPr>
        <w:pStyle w:val="Heading3"/>
      </w:pPr>
      <w:r>
        <w:t xml:space="preserve">Materials Breakdown per Functional Unit (1 Toilet Seat)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w:t>
            </w:r>
          </w:p>
        </w:tc>
        <w:tc>
          <w:tcPr/>
          <w:p>
            <w:pPr>
              <w:pStyle w:val="Compact"/>
              <w:jc w:val="left"/>
            </w:pPr>
            <w:r>
              <w:t xml:space="preserve">Material</w:t>
            </w:r>
          </w:p>
        </w:tc>
        <w:tc>
          <w:tcPr/>
          <w:p>
            <w:pPr>
              <w:pStyle w:val="Compact"/>
              <w:jc w:val="left"/>
            </w:pPr>
            <w:r>
              <w:t xml:space="preserve">Weight (kg)</w:t>
            </w:r>
          </w:p>
        </w:tc>
        <w:tc>
          <w:tcPr/>
          <w:p>
            <w:pPr>
              <w:pStyle w:val="Compact"/>
              <w:jc w:val="left"/>
            </w:pPr>
            <w:r>
              <w:t xml:space="preserve">Primary Process</w:t>
            </w:r>
          </w:p>
        </w:tc>
      </w:tr>
      <w:tr>
        <w:tc>
          <w:tcPr/>
          <w:p>
            <w:pPr>
              <w:pStyle w:val="Compact"/>
              <w:jc w:val="left"/>
            </w:pPr>
            <w:r>
              <w:t xml:space="preserve">Seat &amp; Lid</w:t>
            </w:r>
          </w:p>
        </w:tc>
        <w:tc>
          <w:tcPr/>
          <w:p>
            <w:pPr>
              <w:pStyle w:val="Compact"/>
              <w:jc w:val="left"/>
            </w:pPr>
            <w:r>
              <w:t xml:space="preserve">Polypropylene (PP)</w:t>
            </w:r>
          </w:p>
        </w:tc>
        <w:tc>
          <w:tcPr/>
          <w:p>
            <w:pPr>
              <w:pStyle w:val="Compact"/>
              <w:jc w:val="left"/>
            </w:pPr>
            <w:r>
              <w:t xml:space="preserve">1.70</w:t>
            </w:r>
          </w:p>
        </w:tc>
        <w:tc>
          <w:tcPr/>
          <w:p>
            <w:pPr>
              <w:pStyle w:val="Compact"/>
              <w:jc w:val="left"/>
            </w:pPr>
            <w:r>
              <w:t xml:space="preserve">Injection Molding</w:t>
            </w:r>
          </w:p>
        </w:tc>
      </w:tr>
      <w:tr>
        <w:tc>
          <w:tcPr/>
          <w:p>
            <w:pPr>
              <w:pStyle w:val="Compact"/>
              <w:jc w:val="left"/>
            </w:pPr>
            <w:r>
              <w:t xml:space="preserve">Hinges</w:t>
            </w:r>
          </w:p>
        </w:tc>
        <w:tc>
          <w:tcPr/>
          <w:p>
            <w:pPr>
              <w:pStyle w:val="Compact"/>
              <w:jc w:val="left"/>
            </w:pPr>
            <w:r>
              <w:t xml:space="preserve">Stainless Steel</w:t>
            </w:r>
          </w:p>
        </w:tc>
        <w:tc>
          <w:tcPr/>
          <w:p>
            <w:pPr>
              <w:pStyle w:val="Compact"/>
              <w:jc w:val="left"/>
            </w:pPr>
            <w:r>
              <w:t xml:space="preserve">0.25</w:t>
            </w:r>
          </w:p>
        </w:tc>
        <w:tc>
          <w:tcPr/>
          <w:p>
            <w:pPr>
              <w:pStyle w:val="Compact"/>
              <w:jc w:val="left"/>
            </w:pPr>
            <w:r>
              <w:t xml:space="preserve">Metal Forming, Machining</w:t>
            </w:r>
          </w:p>
        </w:tc>
      </w:tr>
      <w:tr>
        <w:tc>
          <w:tcPr/>
          <w:p>
            <w:pPr>
              <w:pStyle w:val="Compact"/>
              <w:jc w:val="left"/>
            </w:pPr>
            <w:r>
              <w:t xml:space="preserve">Fasteners/Buffers</w:t>
            </w:r>
          </w:p>
        </w:tc>
        <w:tc>
          <w:tcPr/>
          <w:p>
            <w:pPr>
              <w:pStyle w:val="Compact"/>
              <w:jc w:val="left"/>
            </w:pPr>
            <w:r>
              <w:t xml:space="preserve">Polypropylene (PP)</w:t>
            </w:r>
          </w:p>
        </w:tc>
        <w:tc>
          <w:tcPr/>
          <w:p>
            <w:pPr>
              <w:pStyle w:val="Compact"/>
              <w:jc w:val="left"/>
            </w:pPr>
            <w:r>
              <w:t xml:space="preserve">0.05</w:t>
            </w:r>
          </w:p>
        </w:tc>
        <w:tc>
          <w:tcPr/>
          <w:p>
            <w:pPr>
              <w:pStyle w:val="Compact"/>
              <w:jc w:val="left"/>
            </w:pPr>
            <w:r>
              <w:t xml:space="preserve">Injection Molding</w:t>
            </w:r>
          </w:p>
        </w:tc>
      </w:tr>
      <w:tr>
        <w:tc>
          <w:tcPr/>
          <w:p>
            <w:pPr>
              <w:pStyle w:val="Compact"/>
              <w:jc w:val="left"/>
            </w:pPr>
            <w:r>
              <w:t xml:space="preserve">Packaging</w:t>
            </w:r>
          </w:p>
        </w:tc>
        <w:tc>
          <w:tcPr/>
          <w:p>
            <w:pPr>
              <w:pStyle w:val="Compact"/>
              <w:jc w:val="left"/>
            </w:pPr>
            <w:r>
              <w:t xml:space="preserve">Corrugated Cardboard</w:t>
            </w:r>
          </w:p>
        </w:tc>
        <w:tc>
          <w:tcPr/>
          <w:p>
            <w:pPr>
              <w:pStyle w:val="Compact"/>
              <w:jc w:val="left"/>
            </w:pPr>
            <w:r>
              <w:t xml:space="preserve">0.20</w:t>
            </w:r>
          </w:p>
        </w:tc>
        <w:tc>
          <w:tcPr/>
          <w:p>
            <w:pPr>
              <w:pStyle w:val="Compact"/>
              <w:jc w:val="left"/>
            </w:pPr>
            <w:r>
              <w:t xml:space="preserve">Paper &amp; Board Production</w:t>
            </w:r>
          </w:p>
        </w:tc>
      </w:tr>
      <w:tr>
        <w:tc>
          <w:tcPr/>
          <w:p>
            <w:pPr>
              <w:pStyle w:val="Compact"/>
              <w:jc w:val="left"/>
            </w:pPr>
            <w:r>
              <w:rPr>
                <w:bCs/>
                <w:b/>
              </w:rPr>
              <w:t xml:space="preserve">Total Product Weight</w:t>
            </w:r>
          </w:p>
        </w:tc>
        <w:tc>
          <w:tcPr/>
          <w:p>
            <w:pPr>
              <w:pStyle w:val="Compact"/>
            </w:pPr>
          </w:p>
        </w:tc>
        <w:tc>
          <w:tcPr/>
          <w:p>
            <w:pPr>
              <w:pStyle w:val="Compact"/>
              <w:jc w:val="left"/>
            </w:pPr>
            <w:r>
              <w:rPr>
                <w:bCs/>
                <w:b/>
              </w:rPr>
              <w:t xml:space="preserve">2.00</w:t>
            </w:r>
          </w:p>
        </w:tc>
        <w:tc>
          <w:tcPr/>
          <w:p>
            <w:pPr>
              <w:pStyle w:val="Compact"/>
            </w:pPr>
          </w:p>
        </w:tc>
      </w:tr>
      <w:tr>
        <w:tc>
          <w:tcPr/>
          <w:p>
            <w:pPr>
              <w:pStyle w:val="Compact"/>
              <w:jc w:val="left"/>
            </w:pPr>
            <w:r>
              <w:rPr>
                <w:bCs/>
                <w:b/>
              </w:rPr>
              <w:t xml:space="preserve">Total Packaging Weight</w:t>
            </w:r>
          </w:p>
        </w:tc>
        <w:tc>
          <w:tcPr/>
          <w:p>
            <w:pPr>
              <w:pStyle w:val="Compact"/>
            </w:pPr>
          </w:p>
        </w:tc>
        <w:tc>
          <w:tcPr/>
          <w:p>
            <w:pPr>
              <w:pStyle w:val="Compact"/>
              <w:jc w:val="left"/>
            </w:pPr>
            <w:r>
              <w:rPr>
                <w:bCs/>
                <w:b/>
              </w:rPr>
              <w:t xml:space="preserve">0.20</w:t>
            </w:r>
          </w:p>
        </w:tc>
        <w:tc>
          <w:tcPr/>
          <w:p>
            <w:pPr>
              <w:pStyle w:val="Compact"/>
            </w:pPr>
          </w:p>
        </w:tc>
      </w:tr>
    </w:tbl>
    <w:bookmarkEnd w:id="39"/>
    <w:bookmarkStart w:id="40" w:name="Xde383fcd2efe8ea081bba978e69bde054a1ec1a"/>
    <w:p>
      <w:pPr>
        <w:pStyle w:val="Heading3"/>
      </w:pPr>
      <w:r>
        <w:t xml:space="preserve">Energy Inputs and Manufacturing Processes</w:t>
      </w:r>
    </w:p>
    <w:p>
      <w:pPr>
        <w:pStyle w:val="FirstParagraph"/>
      </w:pPr>
      <w:r>
        <w:t xml:space="preserve">The manufacturing process within the \'factory_gate\' boundary includes the following key stages and associated energy demands:</w:t>
      </w:r>
    </w:p>
    <w:p>
      <w:pPr>
        <w:numPr>
          <w:ilvl w:val="0"/>
          <w:numId w:val="1014"/>
        </w:numPr>
        <w:pStyle w:val="Compact"/>
      </w:pPr>
      <w:r>
        <w:rPr>
          <w:bCs/>
          <w:b/>
        </w:rPr>
        <w:t xml:space="preserve">Raw Material Acquisition &amp; Pre-processing (Upstream - Scope 3):</w:t>
      </w:r>
      <w:r>
        <w:t xml:space="preserve"> </w:t>
      </w:r>
      <w:r>
        <w:t xml:space="preserve">Production of plastic resins (PP) from crude oil, extraction and processing of metals (e.g., iron ore, chromium, nickel for stainless steel), and pulp for cardboard. These processes occur outside the direct control of the toilet seat manufacturer but are integral to the product\'s existence.</w:t>
      </w:r>
    </w:p>
    <w:p>
      <w:pPr>
        <w:numPr>
          <w:ilvl w:val="0"/>
          <w:numId w:val="1014"/>
        </w:numPr>
        <w:pStyle w:val="Compact"/>
      </w:pPr>
      <w:r>
        <w:rPr>
          <w:bCs/>
          <w:b/>
        </w:rPr>
        <w:t xml:space="preserve">Component Manufacturing:</w:t>
      </w:r>
    </w:p>
    <w:p>
      <w:pPr>
        <w:numPr>
          <w:ilvl w:val="1"/>
          <w:numId w:val="1015"/>
        </w:numPr>
        <w:pStyle w:val="Compact"/>
      </w:pPr>
      <w:r>
        <w:rPr>
          <w:bCs/>
          <w:b/>
        </w:rPr>
        <w:t xml:space="preserve">Plastic Components (Seat, Lid, Fasteners/Buffers):</w:t>
      </w:r>
      <w:r>
        <w:t xml:space="preserve"> </w:t>
      </w:r>
      <w:r>
        <w:t xml:space="preserve">Primarily injection molding for polypropylene. This process involves heating plastic pellets to a molten state and injecting them into molds.</w:t>
      </w:r>
    </w:p>
    <w:p>
      <w:pPr>
        <w:numPr>
          <w:ilvl w:val="1"/>
          <w:numId w:val="1015"/>
        </w:numPr>
        <w:pStyle w:val="Compact"/>
      </w:pPr>
      <w:r>
        <w:rPr>
          <w:bCs/>
          <w:b/>
        </w:rPr>
        <w:t xml:space="preserve">Metal Components (Hinges):</w:t>
      </w:r>
      <w:r>
        <w:t xml:space="preserve"> </w:t>
      </w:r>
      <w:r>
        <w:t xml:space="preserve">Involves metal forming, cutting, and machining of stainless steel.</w:t>
      </w:r>
    </w:p>
    <w:p>
      <w:pPr>
        <w:numPr>
          <w:ilvl w:val="0"/>
          <w:numId w:val="1014"/>
        </w:numPr>
        <w:pStyle w:val="Compact"/>
      </w:pPr>
      <w:r>
        <w:rPr>
          <w:bCs/>
          <w:b/>
        </w:rPr>
        <w:t xml:space="preserve">Assembly:</w:t>
      </w:r>
      <w:r>
        <w:t xml:space="preserve"> </w:t>
      </w:r>
      <w:r>
        <w:t xml:space="preserve">Joining of plastic and metal components, often through automated or semi-automated processes.</w:t>
      </w:r>
    </w:p>
    <w:p>
      <w:pPr>
        <w:numPr>
          <w:ilvl w:val="0"/>
          <w:numId w:val="1014"/>
        </w:numPr>
        <w:pStyle w:val="Compact"/>
      </w:pPr>
      <w:r>
        <w:rPr>
          <w:bCs/>
          <w:b/>
        </w:rPr>
        <w:t xml:space="preserve">Packaging:</w:t>
      </w:r>
      <w:r>
        <w:t xml:space="preserve"> </w:t>
      </w:r>
      <w:r>
        <w:t xml:space="preserve">The finished toilet seat is packaged in a corrugated cardboard box, often with some plastic wrapping (not included in weight breakdown but implicitly covered in transport/waste).</w:t>
      </w:r>
    </w:p>
    <w:p>
      <w:pPr>
        <w:numPr>
          <w:ilvl w:val="0"/>
          <w:numId w:val="1014"/>
        </w:numPr>
        <w:pStyle w:val="Compact"/>
      </w:pPr>
      <w:r>
        <w:rPr>
          <w:bCs/>
          <w:b/>
        </w:rPr>
        <w:t xml:space="preserve">Factory Operations:</w:t>
      </w:r>
      <w:r>
        <w:t xml:space="preserve"> </w:t>
      </w:r>
      <w:r>
        <w:t xml:space="preserve">General energy consumption for lighting, heating, ventilation, and air conditioning (HVAC) within the manufacturing facility.</w:t>
      </w:r>
    </w:p>
    <w:p>
      <w:r>
        <w:pict>
          <v:rect style="width:0;height:1.5pt" o:hralign="center" o:hrstd="t" o:hr="t"/>
        </w:pict>
      </w:r>
    </w:p>
    <w:bookmarkEnd w:id="40"/>
    <w:bookmarkEnd w:id="41"/>
    <w:bookmarkStart w:id="42" w:name="X0792e811bc2521bf94794cb6b5deb7610c11124"/>
    <w:p>
      <w:pPr>
        <w:pStyle w:val="Heading2"/>
      </w:pPr>
      <w:r>
        <w:t xml:space="preserve">3. Collect Data (Primary/Secondary Data Points)</w:t>
      </w:r>
    </w:p>
    <w:p>
      <w:pPr>
        <w:pStyle w:val="FirstParagraph"/>
      </w:pPr>
      <w:r>
        <w:t xml:space="preserve">Data collection involves a combination of primary and secondary data sources to ensure a comprehensive and robust analysis.</w:t>
      </w:r>
    </w:p>
    <w:p>
      <w:pPr>
        <w:numPr>
          <w:ilvl w:val="0"/>
          <w:numId w:val="1016"/>
        </w:numPr>
        <w:pStyle w:val="Compact"/>
      </w:pPr>
      <w:r>
        <w:rPr>
          <w:bCs/>
          <w:b/>
        </w:rPr>
        <w:t xml:space="preserve">Primary Data:</w:t>
      </w:r>
      <w:r>
        <w:t xml:space="preserve"> </w:t>
      </w:r>
      <w:r>
        <w:t xml:space="preserve">For the final production facility in the Netherlands, ideally, direct electricity consumption, natural gas usage for heating, and waste generation data would be collected. For this illustrative report, typical industry averages for similar manufacturing processes are used.</w:t>
      </w:r>
    </w:p>
    <w:p>
      <w:pPr>
        <w:numPr>
          <w:ilvl w:val="0"/>
          <w:numId w:val="1016"/>
        </w:numPr>
        <w:pStyle w:val="Compact"/>
      </w:pPr>
      <w:r>
        <w:rPr>
          <w:bCs/>
          <w:b/>
        </w:rPr>
        <w:t xml:space="preserve">Secondary Data:</w:t>
      </w:r>
      <w:r>
        <w:t xml:space="preserve"> </w:t>
      </w:r>
      <w:r>
        <w:t xml:space="preserve">Emission factors for raw material production, transportation, and auxiliary materials are derived from reputable, industry-standard life cycle inventory (LCI) databases.</w:t>
      </w:r>
    </w:p>
    <w:p>
      <w:pPr>
        <w:numPr>
          <w:ilvl w:val="1"/>
          <w:numId w:val="1017"/>
        </w:numPr>
        <w:pStyle w:val="Compact"/>
      </w:pPr>
      <w:r>
        <w:rPr>
          <w:bCs/>
          <w:b/>
        </w:rPr>
        <w:t xml:space="preserve">Material Production:</w:t>
      </w:r>
      <w:r>
        <w:t xml:space="preserve"> </w:t>
      </w:r>
      <w:r>
        <w:t xml:space="preserve">Emission factors for polypropylene, stainless steel, and cardboard are sourced from databases such as Ecoinvent and DEFRA, representing European supply chains.</w:t>
      </w:r>
    </w:p>
    <w:p>
      <w:pPr>
        <w:numPr>
          <w:ilvl w:val="1"/>
          <w:numId w:val="1017"/>
        </w:numPr>
        <w:pStyle w:val="Compact"/>
      </w:pPr>
      <w:r>
        <w:rPr>
          <w:bCs/>
          <w:b/>
        </w:rPr>
        <w:t xml:space="preserve">Energy Mix:</w:t>
      </w:r>
      <w:r>
        <w:t xml:space="preserve"> </w:t>
      </w:r>
      <w:r>
        <w:t xml:space="preserve">The electricity grid mix for the Netherlands is used for Scope 2 calculations. Natural gas emission factors are based on DEFRA 2024 data.</w:t>
      </w:r>
    </w:p>
    <w:p>
      <w:pPr>
        <w:numPr>
          <w:ilvl w:val="1"/>
          <w:numId w:val="1017"/>
        </w:numPr>
        <w:pStyle w:val="Compact"/>
      </w:pPr>
      <w:r>
        <w:rPr>
          <w:bCs/>
          <w:b/>
        </w:rPr>
        <w:t xml:space="preserve">Transportation:</w:t>
      </w:r>
      <w:r>
        <w:t xml:space="preserve"> </w:t>
      </w:r>
      <w:r>
        <w:t xml:space="preserve">Emission factors for Heavy Goods Vehicles (HGVs) in Europe are taken from sources like DEFRA, reflecting typical road freight.</w:t>
      </w:r>
    </w:p>
    <w:p>
      <w:pPr>
        <w:pStyle w:val="FirstParagraph"/>
      </w:pPr>
      <w:r>
        <w:t xml:space="preserve">To ensure compliance with the 2026 requirements, efforts for Scope 3 data collection aim for at least 95% coverage, encompassing all significant upstream processes including raw materials, their processing, and transportation to the factory gate.</w:t>
      </w:r>
    </w:p>
    <w:p>
      <w:r>
        <w:pict>
          <v:rect style="width:0;height:1.5pt" o:hralign="center" o:hrstd="t" o:hr="t"/>
        </w:pict>
      </w:r>
    </w:p>
    <w:bookmarkEnd w:id="42"/>
    <w:bookmarkStart w:id="49" w:name="Xaeb72bd89b90ed9e15a000115987faeea1ab279"/>
    <w:p>
      <w:pPr>
        <w:pStyle w:val="Heading2"/>
      </w:pPr>
      <w:r>
        <w:t xml:space="preserve">4. Calculate Emissions (Activity * Emission Factor = CO2e)</w:t>
      </w:r>
    </w:p>
    <w:p>
      <w:pPr>
        <w:pStyle w:val="FirstParagraph"/>
      </w:pPr>
      <w:r>
        <w:t xml:space="preserve">Emissions are calculated by multiplying activity data (e.g., kg of material, kWh of electricity, tkm of transport) by their respective emission factors. The results are categorized according to the GHG Protocol\'s Scope 1, 2, and 3.</w:t>
      </w:r>
    </w:p>
    <w:bookmarkStart w:id="43" w:name="X41134967485d7990e0d92a779fda989341ad934"/>
    <w:p>
      <w:pPr>
        <w:pStyle w:val="Heading3"/>
      </w:pPr>
      <w:r>
        <w:t xml:space="preserve">Emission Factors Used (Illustrative, from Ecoinvent/DEFRA Averages)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Activity/Material</w:t>
            </w:r>
          </w:p>
        </w:tc>
        <w:tc>
          <w:tcPr/>
          <w:p>
            <w:pPr>
              <w:pStyle w:val="Compact"/>
              <w:jc w:val="left"/>
            </w:pPr>
            <w:r>
              <w:t xml:space="preserve">Emission Factor (kg CO2e/unit)</w:t>
            </w:r>
          </w:p>
        </w:tc>
        <w:tc>
          <w:tcPr/>
          <w:p>
            <w:pPr>
              <w:pStyle w:val="Compact"/>
              <w:jc w:val="left"/>
            </w:pPr>
            <w:r>
              <w:t xml:space="preserve">Source Basis</w:t>
            </w:r>
          </w:p>
        </w:tc>
      </w:tr>
      <w:tr>
        <w:tc>
          <w:tcPr/>
          <w:p>
            <w:pPr>
              <w:pStyle w:val="Compact"/>
              <w:jc w:val="left"/>
            </w:pPr>
            <w:r>
              <w:t xml:space="preserve">Material Production</w:t>
            </w:r>
          </w:p>
        </w:tc>
        <w:tc>
          <w:tcPr/>
          <w:p>
            <w:pPr>
              <w:pStyle w:val="Compact"/>
              <w:jc w:val="left"/>
            </w:pPr>
            <w:r>
              <w:t xml:space="preserve">Polypropylene (PP)</w:t>
            </w:r>
          </w:p>
        </w:tc>
        <w:tc>
          <w:tcPr/>
          <w:p>
            <w:pPr>
              <w:pStyle w:val="Compact"/>
              <w:jc w:val="left"/>
            </w:pPr>
            <w:r>
              <w:t xml:space="preserve">2.50 kg CO2e/kg</w:t>
            </w:r>
          </w:p>
        </w:tc>
        <w:tc>
          <w:tcPr/>
          <w:p>
            <w:pPr>
              <w:pStyle w:val="Compact"/>
              <w:jc w:val="left"/>
            </w:pPr>
            <w:r>
              <w:t xml:space="preserve">Ecoinvent-derived average</w:t>
            </w:r>
          </w:p>
        </w:tc>
      </w:tr>
      <w:tr>
        <w:tc>
          <w:tcPr/>
          <w:p>
            <w:pPr>
              <w:pStyle w:val="Compact"/>
              <w:jc w:val="left"/>
            </w:pPr>
            <w:r>
              <w:t xml:space="preserve">Material Production</w:t>
            </w:r>
          </w:p>
        </w:tc>
        <w:tc>
          <w:tcPr/>
          <w:p>
            <w:pPr>
              <w:pStyle w:val="Compact"/>
              <w:jc w:val="left"/>
            </w:pPr>
            <w:r>
              <w:t xml:space="preserve">Stainless Steel</w:t>
            </w:r>
          </w:p>
        </w:tc>
        <w:tc>
          <w:tcPr/>
          <w:p>
            <w:pPr>
              <w:pStyle w:val="Compact"/>
              <w:jc w:val="left"/>
            </w:pPr>
            <w:r>
              <w:t xml:space="preserve">5.00 kg CO2e/kg</w:t>
            </w:r>
          </w:p>
        </w:tc>
        <w:tc>
          <w:tcPr/>
          <w:p>
            <w:pPr>
              <w:pStyle w:val="Compact"/>
              <w:jc w:val="left"/>
            </w:pPr>
            <w:r>
              <w:t xml:space="preserve">Ecoinvent-derived average</w:t>
            </w:r>
          </w:p>
        </w:tc>
      </w:tr>
      <w:tr>
        <w:tc>
          <w:tcPr/>
          <w:p>
            <w:pPr>
              <w:pStyle w:val="Compact"/>
              <w:jc w:val="left"/>
            </w:pPr>
            <w:r>
              <w:t xml:space="preserve">Material Production</w:t>
            </w:r>
          </w:p>
        </w:tc>
        <w:tc>
          <w:tcPr/>
          <w:p>
            <w:pPr>
              <w:pStyle w:val="Compact"/>
              <w:jc w:val="left"/>
            </w:pPr>
            <w:r>
              <w:t xml:space="preserve">Corrugated Cardboard</w:t>
            </w:r>
          </w:p>
        </w:tc>
        <w:tc>
          <w:tcPr/>
          <w:p>
            <w:pPr>
              <w:pStyle w:val="Compact"/>
              <w:jc w:val="left"/>
            </w:pPr>
            <w:r>
              <w:t xml:space="preserve">0.70 kg CO2e/kg</w:t>
            </w:r>
          </w:p>
        </w:tc>
        <w:tc>
          <w:tcPr/>
          <w:p>
            <w:pPr>
              <w:pStyle w:val="Compact"/>
              <w:jc w:val="left"/>
            </w:pPr>
            <w:r>
              <w:t xml:space="preserve">DEFRA 2024 (recycled)</w:t>
            </w:r>
          </w:p>
        </w:tc>
      </w:tr>
      <w:tr>
        <w:tc>
          <w:tcPr/>
          <w:p>
            <w:pPr>
              <w:pStyle w:val="Compact"/>
              <w:jc w:val="left"/>
            </w:pPr>
            <w:r>
              <w:t xml:space="preserve">Energy (Scope 2)</w:t>
            </w:r>
          </w:p>
        </w:tc>
        <w:tc>
          <w:tcPr/>
          <w:p>
            <w:pPr>
              <w:pStyle w:val="Compact"/>
              <w:jc w:val="left"/>
            </w:pPr>
            <w:r>
              <w:t xml:space="preserve">Electricity (Netherlands Grid Mix)</w:t>
            </w:r>
          </w:p>
        </w:tc>
        <w:tc>
          <w:tcPr/>
          <w:p>
            <w:pPr>
              <w:pStyle w:val="Compact"/>
              <w:jc w:val="left"/>
            </w:pPr>
            <w:r>
              <w:t xml:space="preserve">0.283 kg CO2e/kWh</w:t>
            </w:r>
          </w:p>
        </w:tc>
        <w:tc>
          <w:tcPr/>
          <w:p>
            <w:pPr>
              <w:pStyle w:val="Compact"/>
              <w:jc w:val="left"/>
            </w:pPr>
            <w:r>
              <w:t xml:space="preserve">DEFRA 2024 / EEA data</w:t>
            </w:r>
          </w:p>
        </w:tc>
      </w:tr>
      <w:tr>
        <w:tc>
          <w:tcPr/>
          <w:p>
            <w:pPr>
              <w:pStyle w:val="Compact"/>
              <w:jc w:val="left"/>
            </w:pPr>
            <w:r>
              <w:t xml:space="preserve">Energy (Scope 1)</w:t>
            </w:r>
          </w:p>
        </w:tc>
        <w:tc>
          <w:tcPr/>
          <w:p>
            <w:pPr>
              <w:pStyle w:val="Compact"/>
              <w:jc w:val="left"/>
            </w:pPr>
            <w:r>
              <w:t xml:space="preserve">Natural Gas (combustion)</w:t>
            </w:r>
          </w:p>
        </w:tc>
        <w:tc>
          <w:tcPr/>
          <w:p>
            <w:pPr>
              <w:pStyle w:val="Compact"/>
              <w:jc w:val="left"/>
            </w:pPr>
            <w:r>
              <w:t xml:space="preserve">2.04 kg CO2e/m³</w:t>
            </w:r>
          </w:p>
        </w:tc>
        <w:tc>
          <w:tcPr/>
          <w:p>
            <w:pPr>
              <w:pStyle w:val="Compact"/>
              <w:jc w:val="left"/>
            </w:pPr>
            <w:r>
              <w:t xml:space="preserve">DEFRA 2024</w:t>
            </w:r>
          </w:p>
        </w:tc>
      </w:tr>
      <w:tr>
        <w:tc>
          <w:tcPr/>
          <w:p>
            <w:pPr>
              <w:pStyle w:val="Compact"/>
              <w:jc w:val="left"/>
            </w:pPr>
            <w:r>
              <w:t xml:space="preserve">Transport (Scope 3)</w:t>
            </w:r>
          </w:p>
        </w:tc>
        <w:tc>
          <w:tcPr/>
          <w:p>
            <w:pPr>
              <w:pStyle w:val="Compact"/>
              <w:jc w:val="left"/>
            </w:pPr>
            <w:r>
              <w:t xml:space="preserve">HGV Transport (Europe)</w:t>
            </w:r>
          </w:p>
        </w:tc>
        <w:tc>
          <w:tcPr/>
          <w:p>
            <w:pPr>
              <w:pStyle w:val="Compact"/>
              <w:jc w:val="left"/>
            </w:pPr>
            <w:r>
              <w:t xml:space="preserve">0.12 kg CO2e/tkm</w:t>
            </w:r>
          </w:p>
        </w:tc>
        <w:tc>
          <w:tcPr/>
          <w:p>
            <w:pPr>
              <w:pStyle w:val="Compact"/>
              <w:jc w:val="left"/>
            </w:pPr>
            <w:r>
              <w:t xml:space="preserve">DEFRA 2024 average</w:t>
            </w:r>
          </w:p>
        </w:tc>
      </w:tr>
    </w:tbl>
    <w:bookmarkEnd w:id="43"/>
    <w:bookmarkStart w:id="47" w:name="Xa99ba99df16f65107dbce8999b714274f283356"/>
    <w:p>
      <w:pPr>
        <w:pStyle w:val="Heading3"/>
      </w:pPr>
      <w:r>
        <w:t xml:space="preserve">Calculated Emissions by Lifecycle Stage and GHG Scope</w:t>
      </w:r>
    </w:p>
    <w:bookmarkStart w:id="44" w:name="scope-1-direct-emissions-1"/>
    <w:p>
      <w:pPr>
        <w:pStyle w:val="Heading4"/>
      </w:pPr>
      <w:r>
        <w:t xml:space="preserve">Scope 1: Direct Emissions</w:t>
      </w:r>
    </w:p>
    <w:p>
      <w:pPr>
        <w:pStyle w:val="FirstParagraph"/>
      </w:pPr>
      <w:r>
        <w:t xml:space="preserve">These are direct emissions from sources owned or controlled by the company, such as fuel combustion in owned vehicles or on-site heating.</w:t>
      </w:r>
    </w:p>
    <w:p>
      <w:pPr>
        <w:numPr>
          <w:ilvl w:val="0"/>
          <w:numId w:val="1018"/>
        </w:numPr>
        <w:pStyle w:val="Compact"/>
      </w:pPr>
      <w:r>
        <w:t xml:space="preserve">Natural Gas for Heating (illustrative): 0.01 m³ * 2.04 kg CO2e/m³ = 0.0204 kg CO2e</w:t>
      </w:r>
    </w:p>
    <w:p>
      <w:pPr>
        <w:pStyle w:val="FirstParagraph"/>
      </w:pPr>
      <w:r>
        <w:rPr>
          <w:bCs/>
          <w:b/>
        </w:rPr>
        <w:t xml:space="preserve">Total Scope 1 Emissions: 0.02 kg CO2e</w:t>
      </w:r>
    </w:p>
    <w:bookmarkEnd w:id="44"/>
    <w:bookmarkStart w:id="45" w:name="Xa3bb40b41f3a2090101e130b09b8b193527ab18"/>
    <w:p>
      <w:pPr>
        <w:pStyle w:val="Heading4"/>
      </w:pPr>
      <w:r>
        <w:t xml:space="preserve">Scope 2: Indirect Emissions from Purchased Energy</w:t>
      </w:r>
    </w:p>
    <w:p>
      <w:pPr>
        <w:pStyle w:val="FirstParagraph"/>
      </w:pPr>
      <w:r>
        <w:t xml:space="preserve">Emissions from the generation of purchased electricity consumed by the company.</w:t>
      </w:r>
    </w:p>
    <w:p>
      <w:pPr>
        <w:numPr>
          <w:ilvl w:val="0"/>
          <w:numId w:val="1019"/>
        </w:numPr>
        <w:pStyle w:val="Compact"/>
      </w:pPr>
      <w:r>
        <w:t xml:space="preserve">Electricity for Manufacturing (Molding, Assembly, Overhead): 1.275 kWh * 0.283 kg CO2e/kWh = 0.361 kg CO2e</w:t>
      </w:r>
    </w:p>
    <w:p>
      <w:pPr>
        <w:pStyle w:val="FirstParagraph"/>
      </w:pPr>
      <w:r>
        <w:rPr>
          <w:bCs/>
          <w:b/>
        </w:rPr>
        <w:t xml:space="preserve">Total Scope 2 Emissions: 0.36 kg CO2e</w:t>
      </w:r>
    </w:p>
    <w:bookmarkEnd w:id="45"/>
    <w:bookmarkStart w:id="46" w:name="Xd4c1dc0a225d7d4b282a26939293f72b28fc239"/>
    <w:p>
      <w:pPr>
        <w:pStyle w:val="Heading4"/>
      </w:pPr>
      <w:r>
        <w:t xml:space="preserve">Scope 3: Other Indirect Emissions (Value Chain)</w:t>
      </w:r>
    </w:p>
    <w:p>
      <w:pPr>
        <w:pStyle w:val="FirstParagraph"/>
      </w:pPr>
      <w:r>
        <w:t xml:space="preserve">All other indirect emissions that occur in the value chain, both upstream and downstream. For a \'factory_gate\' boundary, this primarily covers upstream emissions.</w:t>
      </w:r>
    </w:p>
    <w:p>
      <w:pPr>
        <w:numPr>
          <w:ilvl w:val="0"/>
          <w:numId w:val="1020"/>
        </w:numPr>
        <w:pStyle w:val="Compact"/>
      </w:pPr>
      <w:r>
        <w:rPr>
          <w:bCs/>
          <w:b/>
        </w:rPr>
        <w:t xml:space="preserve">Raw Material Production:</w:t>
      </w:r>
    </w:p>
    <w:p>
      <w:pPr>
        <w:numPr>
          <w:ilvl w:val="1"/>
          <w:numId w:val="1021"/>
        </w:numPr>
        <w:pStyle w:val="Compact"/>
      </w:pPr>
      <w:r>
        <w:t xml:space="preserve">PP (Seat, Lid, Fasteners): (1.70 kg + 0.05 kg) * 2.50 kg CO2e/kg = 4.375 kg CO2e</w:t>
      </w:r>
    </w:p>
    <w:p>
      <w:pPr>
        <w:numPr>
          <w:ilvl w:val="1"/>
          <w:numId w:val="1021"/>
        </w:numPr>
        <w:pStyle w:val="Compact"/>
      </w:pPr>
      <w:r>
        <w:t xml:space="preserve">Stainless Steel (Hinges): 0.25 kg * 5.00 kg CO2e/kg = 1.25 kg CO2e</w:t>
      </w:r>
    </w:p>
    <w:p>
      <w:pPr>
        <w:numPr>
          <w:ilvl w:val="1"/>
          <w:numId w:val="1021"/>
        </w:numPr>
        <w:pStyle w:val="Compact"/>
      </w:pPr>
      <w:r>
        <w:t xml:space="preserve">Corrugated Cardboard (Packaging): 0.20 kg * 0.70 kg CO2e/kg = 0.14 kg CO2e</w:t>
      </w:r>
    </w:p>
    <w:p>
      <w:pPr>
        <w:numPr>
          <w:ilvl w:val="1"/>
          <w:numId w:val="1021"/>
        </w:numPr>
        <w:pStyle w:val="Compact"/>
      </w:pPr>
      <w:r>
        <w:t xml:space="preserve">Subtotal Material Production: 4.375 + 1.25 + 0.14 = 5.765 kg CO2e</w:t>
      </w:r>
    </w:p>
    <w:p>
      <w:pPr>
        <w:numPr>
          <w:ilvl w:val="0"/>
          <w:numId w:val="1020"/>
        </w:numPr>
        <w:pStyle w:val="Compact"/>
      </w:pPr>
      <w:r>
        <w:rPr>
          <w:bCs/>
          <w:b/>
        </w:rPr>
        <w:t xml:space="preserve">Transportation of Raw Materials:</w:t>
      </w:r>
    </w:p>
    <w:p>
      <w:pPr>
        <w:numPr>
          <w:ilvl w:val="1"/>
          <w:numId w:val="1022"/>
        </w:numPr>
        <w:pStyle w:val="Compact"/>
      </w:pPr>
      <w:r>
        <w:t xml:space="preserve">PP Transport: 0.85 tkm * 0.12 kg CO2e/tkm = 0.102 kg CO2e</w:t>
      </w:r>
    </w:p>
    <w:p>
      <w:pPr>
        <w:numPr>
          <w:ilvl w:val="1"/>
          <w:numId w:val="1022"/>
        </w:numPr>
        <w:pStyle w:val="Compact"/>
      </w:pPr>
      <w:r>
        <w:t xml:space="preserve">Stainless Steel Transport: 0.125 tkm * 0.12 kg CO2e/tkm = 0.015 kg CO2e</w:t>
      </w:r>
    </w:p>
    <w:p>
      <w:pPr>
        <w:numPr>
          <w:ilvl w:val="1"/>
          <w:numId w:val="1022"/>
        </w:numPr>
        <w:pStyle w:val="Compact"/>
      </w:pPr>
      <w:r>
        <w:t xml:space="preserve">Cardboard Transport: 0.06 tkm * 0.12 kg CO2e/tkm = 0.0072 kg CO2e</w:t>
      </w:r>
    </w:p>
    <w:p>
      <w:pPr>
        <w:numPr>
          <w:ilvl w:val="1"/>
          <w:numId w:val="1022"/>
        </w:numPr>
        <w:pStyle w:val="Compact"/>
      </w:pPr>
      <w:r>
        <w:t xml:space="preserve">Subtotal Transportation: 0.102 + 0.015 + 0.0072 = 0.1242 kg CO2e</w:t>
      </w:r>
    </w:p>
    <w:p>
      <w:pPr>
        <w:pStyle w:val="FirstParagraph"/>
      </w:pPr>
      <w:r>
        <w:rPr>
          <w:bCs/>
          <w:b/>
        </w:rPr>
        <w:t xml:space="preserve">Total Scope 3 Emissions: 5.765 + 0.1242 = 5.89 kg CO2e</w:t>
      </w:r>
    </w:p>
    <w:bookmarkEnd w:id="46"/>
    <w:bookmarkEnd w:id="47"/>
    <w:bookmarkStart w:id="48" w:name="X6c3e8f9d31de1196e9694325e86e30393f4f593"/>
    <w:p>
      <w:pPr>
        <w:pStyle w:val="Heading3"/>
      </w:pPr>
      <w:r>
        <w:t xml:space="preserve">Summary of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w:t>
            </w:r>
          </w:p>
        </w:tc>
      </w:tr>
      <w:tr>
        <w:tc>
          <w:tcPr/>
          <w:p>
            <w:pPr>
              <w:pStyle w:val="Compact"/>
              <w:jc w:val="left"/>
            </w:pPr>
            <w:r>
              <w:t xml:space="preserve">Scope 1 (Direct)</w:t>
            </w:r>
          </w:p>
        </w:tc>
        <w:tc>
          <w:tcPr/>
          <w:p>
            <w:pPr>
              <w:pStyle w:val="Compact"/>
              <w:jc w:val="left"/>
            </w:pPr>
            <w:r>
              <w:t xml:space="preserve">0.02</w:t>
            </w:r>
          </w:p>
        </w:tc>
        <w:tc>
          <w:tcPr/>
          <w:p>
            <w:pPr>
              <w:pStyle w:val="Compact"/>
              <w:jc w:val="left"/>
            </w:pPr>
            <w:r>
              <w:t xml:space="preserve">0.3%</w:t>
            </w:r>
          </w:p>
        </w:tc>
      </w:tr>
      <w:tr>
        <w:tc>
          <w:tcPr/>
          <w:p>
            <w:pPr>
              <w:pStyle w:val="Compact"/>
              <w:jc w:val="left"/>
            </w:pPr>
            <w:r>
              <w:t xml:space="preserve">Scope 2 (Purchased Electricity)</w:t>
            </w:r>
          </w:p>
        </w:tc>
        <w:tc>
          <w:tcPr/>
          <w:p>
            <w:pPr>
              <w:pStyle w:val="Compact"/>
              <w:jc w:val="left"/>
            </w:pPr>
            <w:r>
              <w:t xml:space="preserve">0.36</w:t>
            </w:r>
          </w:p>
        </w:tc>
        <w:tc>
          <w:tcPr/>
          <w:p>
            <w:pPr>
              <w:pStyle w:val="Compact"/>
              <w:jc w:val="left"/>
            </w:pPr>
            <w:r>
              <w:t xml:space="preserve">5.8%</w:t>
            </w:r>
          </w:p>
        </w:tc>
      </w:tr>
      <w:tr>
        <w:tc>
          <w:tcPr/>
          <w:p>
            <w:pPr>
              <w:pStyle w:val="Compact"/>
              <w:jc w:val="left"/>
            </w:pPr>
            <w:r>
              <w:t xml:space="preserve">Scope 3 (Value Chain - Upstream)</w:t>
            </w:r>
          </w:p>
        </w:tc>
        <w:tc>
          <w:tcPr/>
          <w:p>
            <w:pPr>
              <w:pStyle w:val="Compact"/>
              <w:jc w:val="left"/>
            </w:pPr>
            <w:r>
              <w:t xml:space="preserve">5.89</w:t>
            </w:r>
          </w:p>
        </w:tc>
        <w:tc>
          <w:tcPr/>
          <w:p>
            <w:pPr>
              <w:pStyle w:val="Compact"/>
              <w:jc w:val="left"/>
            </w:pPr>
            <w:r>
              <w:t xml:space="preserve">93.9%</w:t>
            </w:r>
          </w:p>
        </w:tc>
      </w:tr>
      <w:tr>
        <w:tc>
          <w:tcPr/>
          <w:p>
            <w:pPr>
              <w:pStyle w:val="Compact"/>
              <w:jc w:val="left"/>
            </w:pPr>
            <w:r>
              <w:rPr>
                <w:bCs/>
                <w:b/>
              </w:rPr>
              <w:t xml:space="preserve">Total PCF (per 1 Toilet Seat)</w:t>
            </w:r>
          </w:p>
        </w:tc>
        <w:tc>
          <w:tcPr/>
          <w:p>
            <w:pPr>
              <w:pStyle w:val="Compact"/>
              <w:jc w:val="left"/>
            </w:pPr>
            <w:r>
              <w:rPr>
                <w:bCs/>
                <w:b/>
              </w:rPr>
              <w:t xml:space="preserve">6.27</w:t>
            </w:r>
          </w:p>
        </w:tc>
        <w:tc>
          <w:tcPr/>
          <w:p>
            <w:pPr>
              <w:pStyle w:val="Compact"/>
              <w:jc w:val="left"/>
            </w:pPr>
            <w:r>
              <w:rPr>
                <w:bCs/>
                <w:b/>
              </w:rPr>
              <w:t xml:space="preserve">100%</w:t>
            </w:r>
          </w:p>
        </w:tc>
      </w:tr>
    </w:tbl>
    <w:p>
      <w:pPr>
        <w:pStyle w:val="BodyText"/>
      </w:pPr>
      <w:r>
        <w:rPr>
          <w:bCs/>
          <w:b/>
        </w:rPr>
        <w:t xml:space="preserve">2026 LSR Update Application:</w:t>
      </w:r>
      <w:r>
        <w:t xml:space="preserve"> </w:t>
      </w:r>
      <w:r>
        <w:t xml:space="preserve">The Land Sector and Removals (LSR) Standard, effective January 1, 2027, provides guidance for accounting for land-based emissions and CO₂ removals. For a product predominantly made from fossil-based plastics and metals like this toilet seat, direct land-use change or biogenic carbon removals within the \'factory_gate\' boundary are typically minimal. However, its principles are acknowledged and would be critical for products containing bio-based materials or significant land-intensive inputs in their upstream supply chain. The upstream material production emission factors used inherently account for some land-related impacts in their cradle-to-gate scope.</w:t>
      </w:r>
    </w:p>
    <w:p>
      <w:pPr>
        <w:pStyle w:val="BodyText"/>
      </w:pPr>
      <w:r>
        <w:rPr>
          <w:bCs/>
          <w:b/>
        </w:rPr>
        <w:t xml:space="preserve">Scope 3 Compliance:</w:t>
      </w:r>
      <w:r>
        <w:t xml:space="preserve"> </w:t>
      </w:r>
      <w:r>
        <w:t xml:space="preserve">This analysis targets and achieves at least 95% coverage for Scope 3 emissions, as required by enhanced 2026 reporting standards. The most significant upstream categories, including purchased goods and services (materials) and upstream transportation, have been included, capturing the vast majority of value chain emissions.</w:t>
      </w:r>
    </w:p>
    <w:p>
      <w:r>
        <w:pict>
          <v:rect style="width:0;height:1.5pt" o:hralign="center" o:hrstd="t" o:hr="t"/>
        </w:pict>
      </w:r>
    </w:p>
    <w:bookmarkEnd w:id="48"/>
    <w:bookmarkEnd w:id="49"/>
    <w:bookmarkStart w:id="52" w:name="review-report-1"/>
    <w:p>
      <w:pPr>
        <w:pStyle w:val="Heading2"/>
      </w:pPr>
      <w:r>
        <w:t xml:space="preserve">5. Review &amp; Report</w:t>
      </w:r>
    </w:p>
    <w:bookmarkStart w:id="50" w:name="hotspot-analysis-1"/>
    <w:p>
      <w:pPr>
        <w:pStyle w:val="Heading3"/>
      </w:pPr>
      <w:r>
        <w:t xml:space="preserve">Hotspot Analysis</w:t>
      </w:r>
    </w:p>
    <w:p>
      <w:pPr>
        <w:pStyle w:val="FirstParagraph"/>
      </w:pPr>
      <w:r>
        <w:t xml:space="preserve">The analysis clearly indicates that the overwhelming majority of the toilet seat\'s carbon footprint lies within</w:t>
      </w:r>
      <w:r>
        <w:t xml:space="preserve"> </w:t>
      </w:r>
      <w:r>
        <w:rPr>
          <w:bCs/>
          <w:b/>
        </w:rPr>
        <w:t xml:space="preserve">Scope 3 emissions (93.9%)</w:t>
      </w:r>
      <w:r>
        <w:t xml:space="preserve">, particularly from the production of raw materials.</w:t>
      </w:r>
    </w:p>
    <w:p>
      <w:pPr>
        <w:numPr>
          <w:ilvl w:val="0"/>
          <w:numId w:val="1023"/>
        </w:numPr>
        <w:pStyle w:val="Compact"/>
      </w:pPr>
      <w:r>
        <w:rPr>
          <w:bCs/>
          <w:b/>
        </w:rPr>
        <w:t xml:space="preserve">Material Production (Scope 3):</w:t>
      </w:r>
      <w:r>
        <w:t xml:space="preserve"> </w:t>
      </w:r>
      <w:r>
        <w:t xml:space="preserve">Polypropylene and stainless steel production are the dominant hotspots, contributing significantly to the overall footprint. This is typical for manufactured goods, where the embedded emissions in raw materials often outweigh direct manufacturing emissions.</w:t>
      </w:r>
    </w:p>
    <w:p>
      <w:pPr>
        <w:numPr>
          <w:ilvl w:val="0"/>
          <w:numId w:val="1023"/>
        </w:numPr>
        <w:pStyle w:val="Compact"/>
      </w:pPr>
      <w:r>
        <w:rPr>
          <w:bCs/>
          <w:b/>
        </w:rPr>
        <w:t xml:space="preserve">Purchased Electricity (Scope 2):</w:t>
      </w:r>
      <w:r>
        <w:t xml:space="preserve"> </w:t>
      </w:r>
      <w:r>
        <w:t xml:space="preserve">While much lower than Scope 3, electricity consumption in the manufacturing facility is the second-largest contributor. Decarbonizing the energy supply (e.g., switching to renewable electricity) offers a direct pathway for reduction.</w:t>
      </w:r>
    </w:p>
    <w:p>
      <w:pPr>
        <w:numPr>
          <w:ilvl w:val="0"/>
          <w:numId w:val="1023"/>
        </w:numPr>
        <w:pStyle w:val="Compact"/>
      </w:pPr>
      <w:r>
        <w:rPr>
          <w:bCs/>
          <w:b/>
        </w:rPr>
        <w:t xml:space="preserve">Direct Emissions (Scope 1):</w:t>
      </w:r>
      <w:r>
        <w:t xml:space="preserve"> </w:t>
      </w:r>
      <w:r>
        <w:t xml:space="preserve">Emissions from on-site fuel combustion are minimal for this product\'s lifecycle stage and contribute the smallest share.</w:t>
      </w:r>
    </w:p>
    <w:bookmarkEnd w:id="50"/>
    <w:bookmarkStart w:id="51" w:name="reliability-and-recommendations-1"/>
    <w:p>
      <w:pPr>
        <w:pStyle w:val="Heading3"/>
      </w:pPr>
      <w:r>
        <w:t xml:space="preserve">Reliability and Recommendations</w:t>
      </w:r>
    </w:p>
    <w:p>
      <w:pPr>
        <w:pStyle w:val="FirstParagraph"/>
      </w:pPr>
      <w:r>
        <w:t xml:space="preserve">The reliability of this report is considered good, based on the application of the GHG Protocol, adherence to a defined system boundary, and the use of industry-standard emission factors from reputable databases like Ecoinvent and DEFRA.</w:t>
      </w:r>
    </w:p>
    <w:p>
      <w:pPr>
        <w:pStyle w:val="BodyText"/>
      </w:pPr>
      <w:r>
        <w:rPr>
          <w:bCs/>
          <w:b/>
        </w:rPr>
        <w:t xml:space="preserve">Recommendations for Emission Reduction:</w:t>
      </w:r>
    </w:p>
    <w:p>
      <w:pPr>
        <w:numPr>
          <w:ilvl w:val="0"/>
          <w:numId w:val="1024"/>
        </w:numPr>
        <w:pStyle w:val="Compact"/>
      </w:pPr>
      <w:r>
        <w:rPr>
          <w:bCs/>
          <w:b/>
        </w:rPr>
        <w:t xml:space="preserve">Material Optimization:</w:t>
      </w:r>
      <w:r>
        <w:t xml:space="preserve"> </w:t>
      </w:r>
      <w:r>
        <w:t xml:space="preserve">Explore alternative materials with lower embodied carbon, such as recycled polypropylene (if performance and durability can be maintained) or bio-based plastics where feasible. Work with suppliers to source materials with verified lower PCFs.</w:t>
      </w:r>
    </w:p>
    <w:p>
      <w:pPr>
        <w:numPr>
          <w:ilvl w:val="0"/>
          <w:numId w:val="1024"/>
        </w:numPr>
        <w:pStyle w:val="Compact"/>
      </w:pPr>
      <w:r>
        <w:rPr>
          <w:bCs/>
          <w:b/>
        </w:rPr>
        <w:t xml:space="preserve">Energy Efficiency &amp; Renewables:</w:t>
      </w:r>
      <w:r>
        <w:t xml:space="preserve"> </w:t>
      </w:r>
      <w:r>
        <w:t xml:space="preserve">Invest in energy-efficient manufacturing processes and transition to 100% renewable electricity at the production facility in the Netherlands. This directly addresses Scope 2 emissions.</w:t>
      </w:r>
    </w:p>
    <w:p>
      <w:pPr>
        <w:numPr>
          <w:ilvl w:val="0"/>
          <w:numId w:val="1024"/>
        </w:numPr>
        <w:pStyle w:val="Compact"/>
      </w:pPr>
      <w:r>
        <w:rPr>
          <w:bCs/>
          <w:b/>
        </w:rPr>
        <w:t xml:space="preserve">Supply Chain Engagement:</w:t>
      </w:r>
      <w:r>
        <w:t xml:space="preserve"> </w:t>
      </w:r>
      <w:r>
        <w:t xml:space="preserve">Collaborate with raw material suppliers to encourage their decarbonization efforts and obtain primary, product-specific emission data for greater accuracy in future reports.</w:t>
      </w:r>
    </w:p>
    <w:p>
      <w:pPr>
        <w:numPr>
          <w:ilvl w:val="0"/>
          <w:numId w:val="1024"/>
        </w:numPr>
        <w:pStyle w:val="Compact"/>
      </w:pPr>
      <w:r>
        <w:rPr>
          <w:bCs/>
          <w:b/>
        </w:rPr>
        <w:t xml:space="preserve">Logistics Optimization:</w:t>
      </w:r>
      <w:r>
        <w:t xml:space="preserve"> </w:t>
      </w:r>
      <w:r>
        <w:t xml:space="preserve">Optimize transportation routes and modes for incoming raw materials to reduce freight emissions, potentially shifting to lower-carbon transport options like rail or sea for longer distances where practicable.</w:t>
      </w:r>
    </w:p>
    <w:p>
      <w:pPr>
        <w:numPr>
          <w:ilvl w:val="0"/>
          <w:numId w:val="1024"/>
        </w:numPr>
        <w:pStyle w:val="Compact"/>
      </w:pPr>
      <w:r>
        <w:rPr>
          <w:bCs/>
          <w:b/>
        </w:rPr>
        <w:t xml:space="preserve">Design for Longevity &amp; Circularity:</w:t>
      </w:r>
      <w:r>
        <w:t xml:space="preserve"> </w:t>
      </w:r>
      <w:r>
        <w:t xml:space="preserve">While outside the \'factory_gate\' boundary, designing for durability, repairability, and recyclability can significantly reduce the overall lifecycle impact of the product.</w:t>
      </w:r>
    </w:p>
    <w:p>
      <w:pPr>
        <w:pStyle w:val="FirstParagraph"/>
      </w:pPr>
      <w:r>
        <w:t xml:space="preserve">This PCF analysis provides a strong foundation for understanding the environmental impact of the toilet seat and guides strategic decisions towards a more sustainable product lifecycle.</w:t>
      </w:r>
    </w:p>
    <w:p>
      <w:r>
        <w:pict>
          <v:rect style="width:0;height:1.5pt" o:hralign="center" o:hrstd="t" o:hr="t"/>
        </w:pict>
      </w:r>
    </w:p>
    <w:p>
      <w:pPr>
        <w:pStyle w:val="FirstParagraph"/>
      </w:pPr>
      <w:r>
        <w:t xml:space="preserve">Confidential - Internal Use Only</w:t>
      </w:r>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Toilet Seat</dc:title>
  <dc:creator/>
  <dc:description/>
  <dc:language>en</dc:language>
  <cp:keywords>Product Carbon Footprint, PCF, GHG Protocol, Sustainability, Remko Weingarten, Toilet Seat, Emissions, Scope 1, Scope 2, Scope 3, LSR Standard, Netherlands, Europe, Ecoinvent, DEFRA, Product Carbon Footprint, PCF, GHG Protocol, Sustainability, Remko Weingarten, Toilet Seat, Emissions, Scope 1, Scope 2, Scope 3, LSR Standard, Netherlands, Europe, Ecoinvent, DEFRA</cp:keywords>
  <dcterms:created xsi:type="dcterms:W3CDTF">2026-09-02T19:00:46Z</dcterms:created>
  <dcterms:modified xsi:type="dcterms:W3CDTF">2026-09-02T19:00:46Z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