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tntniyetpm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tntniyetpm</w:t>
      </w:r>
    </w:p>
    <w:p>
      <w:pPr>
        <w:pStyle w:val="BodyText"/>
      </w:pPr>
      <w:r>
        <w:rPr>
          <w:bCs/>
          <w:b/>
        </w:rPr>
        <w:t xml:space="preserve">Company:</w:t>
      </w:r>
      <w:r>
        <w:t xml:space="preserve"> </w:t>
      </w:r>
      <w:r>
        <w:t xml:space="preserve">hyhfzommnr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itnkyvjsmw</w:t>
      </w:r>
    </w:p>
    <w:p>
      <w:pPr>
        <w:pStyle w:val="BodyText"/>
      </w:pPr>
      <w:r>
        <w:t xml:space="preserve">This report is generated based on available data and industry standards. While efforts have been made to ensure accuracy, the results are indicative and subject to the completeness and quality of the input parameters and assumed emission factors.</w:t>
      </w:r>
    </w:p>
    <w:bookmarkEnd w:id="20"/>
    <w:p>
      <w:pPr>
        <w:pStyle w:val="BodyText"/>
      </w:pPr>
      <w:r>
        <w:t xml:space="preserve">Generated Date: May 21, 2026</w:t>
      </w:r>
    </w:p>
    <w:bookmarkStart w:id="39" w:name="X048ab4b2228cc679c7d9d29cdb1a93bc8d8941b"/>
    <w:p>
      <w:pPr>
        <w:pStyle w:val="Heading1"/>
      </w:pPr>
      <w:r>
        <w:t xml:space="preserve">Product Carbon Footprint Analysis for tntniyetpm</w:t>
      </w:r>
    </w:p>
    <w:p>
      <w:pPr>
        <w:pStyle w:val="FirstParagraph"/>
      </w:pPr>
      <w:r>
        <w:t xml:space="preserve">This report presents a high-detail Product Carbon Footprint (PCF) analysis for</w:t>
      </w:r>
      <w:r>
        <w:t xml:space="preserve"> </w:t>
      </w:r>
      <w:r>
        <w:rPr>
          <w:bCs/>
          <w:b/>
        </w:rPr>
        <w:t xml:space="preserve">tntniyetpm</w:t>
      </w:r>
      <w:r>
        <w:t xml:space="preserve">, manufactured by</w:t>
      </w:r>
      <w:r>
        <w:t xml:space="preserve"> </w:t>
      </w:r>
      <w:r>
        <w:rPr>
          <w:bCs/>
          <w:b/>
        </w:rPr>
        <w:t xml:space="preserve">hyhfzommnr</w:t>
      </w:r>
      <w:r>
        <w:t xml:space="preserve">. The assessment is conducted by</w:t>
      </w:r>
      <w:r>
        <w:t xml:space="preserve"> </w:t>
      </w:r>
      <w:r>
        <w:rPr>
          <w:bCs/>
          <w:b/>
        </w:rPr>
        <w:t xml:space="preserve">itnkyvjsmw</w:t>
      </w:r>
      <w:r>
        <w:t xml:space="preserve">, a Senior Sustainability Consultant specializing in the GHG Protocol. The analysis adheres to the GHG Protocol accounting standard, incorporating the latest 2026 Land Sector and Removals (LSR) update and striving for at least 95% Scope 3 coverage, as required by 2026 standards.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provides a comprehensive assessment of the greenhouse gas (GHG) emissions associated with the product</w:t>
      </w:r>
      <w:r>
        <w:t xml:space="preserve"> </w:t>
      </w:r>
      <w:r>
        <w:rPr>
          <w:bCs/>
          <w:b/>
        </w:rPr>
        <w:t xml:space="preserve">tntniyetpm</w:t>
      </w:r>
      <w:r>
        <w:t xml:space="preserve"> </w:t>
      </w:r>
      <w:r>
        <w:t xml:space="preserve">throughout its lifecycle. Utilizing the GHG Protocol as the accounting standard, the report identifies emission hotspots from material acquisition, manufacturing, transport, use, and end-of-life phases. While the primary system boundary for core production is defined as \'factory gate\' (cradle-to-gate), a full \'cradle-to-grave\' perspective is adopted to address all specified parameters, including use phase and end-of-life scenarios, offering a holistic view of the product\'s environmental impact. Key findings highlight areas for potential emission reductions and contribute to</w:t>
      </w:r>
      <w:r>
        <w:t xml:space="preserve"> </w:t>
      </w:r>
      <w:r>
        <w:rPr>
          <w:bCs/>
          <w:b/>
        </w:rPr>
        <w:t xml:space="preserve">hyhfzommnr</w:t>
      </w:r>
      <w:r>
        <w:t xml:space="preserve">\'s sustainability strategy.</w:t>
      </w:r>
    </w:p>
    <w:p>
      <w:r>
        <w:pict>
          <v:rect style="width:0;height:1.5pt" o:hralign="center" o:hrstd="t" o:hr="t"/>
        </w:pict>
      </w:r>
    </w:p>
    <w:bookmarkEnd w:id="21"/>
    <w:bookmarkStart w:id="36" w:name="methodology"/>
    <w:p>
      <w:pPr>
        <w:pStyle w:val="Heading2"/>
      </w:pPr>
      <w:r>
        <w:t xml:space="preserve">Methodology</w:t>
      </w:r>
    </w:p>
    <w:p>
      <w:pPr>
        <w:pStyle w:val="FirstParagraph"/>
      </w:pPr>
      <w:r>
        <w:t xml:space="preserve">The Product Carbon Footprint (PCF) analysis for</w:t>
      </w:r>
      <w:r>
        <w:t xml:space="preserve"> </w:t>
      </w:r>
      <w:r>
        <w:rPr>
          <w:bCs/>
          <w:b/>
        </w:rPr>
        <w:t xml:space="preserve">tntniyetpm</w:t>
      </w:r>
      <w:r>
        <w:t xml:space="preserve"> </w:t>
      </w:r>
      <w:r>
        <w:t xml:space="preserve">follows a structured five-step methodology compliant with the GHG Protocol:</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tntniyetpm.</w:t>
      </w:r>
    </w:p>
    <w:p>
      <w:pPr>
        <w:numPr>
          <w:ilvl w:val="0"/>
          <w:numId w:val="1001"/>
        </w:numPr>
        <w:pStyle w:val="Compact"/>
      </w:pPr>
      <w:r>
        <w:rPr>
          <w:bCs/>
          <w:b/>
        </w:rPr>
        <w:t xml:space="preserve">System Boundary:</w:t>
      </w:r>
      <w:r>
        <w:t xml:space="preserve"> </w:t>
      </w:r>
      <w:r>
        <w:t xml:space="preserve">While the primary reporting boundary for the core production footprint is "factory_gate" (cradle-to-gate), a comprehensive \'cradle-to-grave\' approach is applied to fully incorporate use phase, end-of-life, and downstream transport as per project parameters. This ensures a holistic view of the product\'s environmental impact from material extraction to disposal/recycling.</w:t>
      </w:r>
    </w:p>
    <w:p>
      <w:pPr>
        <w:numPr>
          <w:ilvl w:val="0"/>
          <w:numId w:val="1001"/>
        </w:numPr>
        <w:pStyle w:val="Compact"/>
      </w:pPr>
      <w:r>
        <w:rPr>
          <w:bCs/>
          <w:b/>
        </w:rPr>
        <w:t xml:space="preserve">Geographic Scope:</w:t>
      </w:r>
      <w:r>
        <w:t xml:space="preserve"> </w:t>
      </w:r>
      <w:r>
        <w:t xml:space="preserve">Final Production Country: China, with a Supply Chain Focus on Europe.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Product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Standard mass-based and economic allocation principles are applied where necessary, particularly for co-products or multi-functional processes, though specific allocation details are derived from the provided Bill of Materials (BOM) and process-specific emission factors.</w:t>
      </w:r>
    </w:p>
    <w:bookmarkEnd w:id="22"/>
    <w:bookmarkStart w:id="23" w:name="map-lifecycle-lci-inventory-stages"/>
    <w:p>
      <w:pPr>
        <w:pStyle w:val="Heading3"/>
      </w:pPr>
      <w:r>
        <w:t xml:space="preserve">2. Map Lifecycle (LCI Inventory Stages)</w:t>
      </w:r>
    </w:p>
    <w:p>
      <w:pPr>
        <w:pStyle w:val="FirstParagraph"/>
      </w:pPr>
      <w:r>
        <w:t xml:space="preserve">The lifecycle of</w:t>
      </w:r>
      <w:r>
        <w:t xml:space="preserve"> </w:t>
      </w:r>
      <w:r>
        <w:rPr>
          <w:bCs/>
          <w:b/>
        </w:rPr>
        <w:t xml:space="preserve">tntniyetpm</w:t>
      </w:r>
      <w:r>
        <w:t xml:space="preserve"> </w:t>
      </w:r>
      <w:r>
        <w:t xml:space="preserve">is mapped across several key stages to identify all relevant inputs and outputs:</w:t>
      </w:r>
    </w:p>
    <w:p>
      <w:pPr>
        <w:numPr>
          <w:ilvl w:val="0"/>
          <w:numId w:val="1002"/>
        </w:numPr>
        <w:pStyle w:val="Compact"/>
      </w:pPr>
      <w:r>
        <w:rPr>
          <w:bCs/>
          <w:b/>
        </w:rPr>
        <w:t xml:space="preserve">Material Acquisition &amp; Pre-processing:</w:t>
      </w:r>
      <w:r>
        <w:t xml:space="preserve"> </w:t>
      </w:r>
      <w:r>
        <w:t xml:space="preserve">Extraction, refining, and manufacturing of raw materials (e.g., metals, plastics, electronics components) as detailed in the Bill of Materials.</w:t>
      </w:r>
    </w:p>
    <w:p>
      <w:pPr>
        <w:numPr>
          <w:ilvl w:val="0"/>
          <w:numId w:val="1002"/>
        </w:numPr>
        <w:pStyle w:val="Compact"/>
      </w:pPr>
      <w:r>
        <w:rPr>
          <w:bCs/>
          <w:b/>
        </w:rPr>
        <w:t xml:space="preserve">Manufacturing/Production:</w:t>
      </w:r>
      <w:r>
        <w:t xml:space="preserve"> </w:t>
      </w:r>
      <w:r>
        <w:t xml:space="preserve">Transformation of raw materials into the final product at the factory in China, including energy consumption and associated processes.</w:t>
      </w:r>
    </w:p>
    <w:p>
      <w:pPr>
        <w:numPr>
          <w:ilvl w:val="0"/>
          <w:numId w:val="1002"/>
        </w:numPr>
        <w:pStyle w:val="Compact"/>
      </w:pPr>
      <w:r>
        <w:rPr>
          <w:bCs/>
          <w:b/>
        </w:rPr>
        <w:t xml:space="preserve">Transport (Inbound Logistics):</w:t>
      </w:r>
      <w:r>
        <w:t xml:space="preserve"> </w:t>
      </w:r>
      <w:r>
        <w:t xml:space="preserve">Transportation of raw materials and components from suppliers (Europe-focused) to the production facility in China.</w:t>
      </w:r>
    </w:p>
    <w:p>
      <w:pPr>
        <w:numPr>
          <w:ilvl w:val="0"/>
          <w:numId w:val="1002"/>
        </w:numPr>
        <w:pStyle w:val="Compact"/>
      </w:pPr>
      <w:r>
        <w:rPr>
          <w:bCs/>
          <w:b/>
        </w:rPr>
        <w:t xml:space="preserve">Use Phase:</w:t>
      </w:r>
      <w:r>
        <w:t xml:space="preserve"> </w:t>
      </w:r>
      <w:r>
        <w:t xml:space="preserve">Energy consumption during the operational lifespan of the product.</w:t>
      </w:r>
    </w:p>
    <w:p>
      <w:pPr>
        <w:numPr>
          <w:ilvl w:val="0"/>
          <w:numId w:val="1002"/>
        </w:numPr>
        <w:pStyle w:val="Compact"/>
      </w:pPr>
      <w:r>
        <w:rPr>
          <w:bCs/>
          <w:b/>
        </w:rPr>
        <w:t xml:space="preserve">Transport (Downstream Logistics):</w:t>
      </w:r>
      <w:r>
        <w:t xml:space="preserve"> </w:t>
      </w:r>
      <w:r>
        <w:t xml:space="preserve">Last-mile delivery to the end-user.</w:t>
      </w:r>
    </w:p>
    <w:p>
      <w:pPr>
        <w:numPr>
          <w:ilvl w:val="0"/>
          <w:numId w:val="1002"/>
        </w:numPr>
        <w:pStyle w:val="Compact"/>
      </w:pPr>
      <w:r>
        <w:rPr>
          <w:bCs/>
          <w:b/>
        </w:rPr>
        <w:t xml:space="preserve">End-of-Life (EoL):</w:t>
      </w:r>
      <w:r>
        <w:t xml:space="preserve"> </w:t>
      </w:r>
      <w:r>
        <w:t xml:space="preserve">Disposal, recycling, or recovery processes for the product and its components at the end of its functional life.</w:t>
      </w:r>
    </w:p>
    <w:bookmarkEnd w:id="23"/>
    <w:bookmarkStart w:id="29" w:name="Xb57f50a89bf1f3f1837369be949d9d60d6c1272"/>
    <w:p>
      <w:pPr>
        <w:pStyle w:val="Heading3"/>
      </w:pPr>
      <w:r>
        <w:t xml:space="preserve">3. Collect Data (Primary/Secondary Data Points)</w:t>
      </w:r>
    </w:p>
    <w:p>
      <w:pPr>
        <w:pStyle w:val="FirstParagraph"/>
      </w:pPr>
      <w:r>
        <w:t xml:space="preserve">Data collection for this PCF analysis integrates specific primary data provided by the client with robust secondary data sources. Due to the placeholder nature of some parameters, reasonable industry averages and assumptions have been made, which are clearly stated below. Industry-standard emission factors are typically sourced from databases such as Ecoinvent and DEFRA.</w:t>
      </w:r>
    </w:p>
    <w:bookmarkStart w:id="24" w:name="detailed-bill-of-materials-bom-analysis"/>
    <w:p>
      <w:pPr>
        <w:pStyle w:val="Heading4"/>
      </w:pPr>
      <w:r>
        <w:t xml:space="preserve">Detailed Bill of Materials (BOM) Analysis</w:t>
      </w:r>
    </w:p>
    <w:p>
      <w:pPr>
        <w:pStyle w:val="FirstParagraph"/>
      </w:pPr>
      <w:r>
        <w:t xml:space="preserve">The following detailed Bill of Materials (BOM) was provided as</w:t>
      </w:r>
      <w:r>
        <w:t xml:space="preserve"> </w:t>
      </w:r>
      <w:r>
        <w:rPr>
          <w:bCs/>
          <w:b/>
        </w:rPr>
        <w:t xml:space="preserve">ohvnkmiz</w:t>
      </w:r>
      <w:r>
        <w:t xml:space="preserve">. For the purpose of calculation, an illustrative BOM dataset structured according to the specified format (ID, Description, Category, Process, Qty, Unit, Emission Factor, Total Carbon) is used to demonstrate the methodology, as the original input was a placeholder string. Actual calculations would utilize the precise data if available.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bCs/>
          <w:b/>
        </w:rPr>
        <w:t xml:space="preserve">Assumed Total Product Mass (for transport calculation):</w:t>
      </w:r>
      <w:r>
        <w:t xml:space="preserve"> </w:t>
      </w:r>
      <w:r>
        <w:t xml:space="preserve">Sum of material quantities = 0.5 + 0.2 + 0.1 (unit equivalent to 0.1 kg) + 0.05 = 0.85 kg.</w:t>
      </w:r>
    </w:p>
    <w:bookmarkEnd w:id="24"/>
    <w:bookmarkStart w:id="25" w:name="production-energy-data"/>
    <w:p>
      <w:pPr>
        <w:pStyle w:val="Heading4"/>
      </w:pPr>
      <w:r>
        <w:t xml:space="preserve">Production &amp; Energy Data</w:t>
      </w:r>
    </w:p>
    <w:p>
      <w:pPr>
        <w:numPr>
          <w:ilvl w:val="0"/>
          <w:numId w:val="1003"/>
        </w:numPr>
        <w:pStyle w:val="Compact"/>
      </w:pPr>
      <w:r>
        <w:rPr>
          <w:bCs/>
          <w:b/>
        </w:rPr>
        <w:t xml:space="preserve">Renewable Energy Usage:</w:t>
      </w:r>
      <w:r>
        <w:t xml:space="preserve"> </w:t>
      </w:r>
      <w:r>
        <w:rPr>
          <w:bCs/>
          <w:b/>
        </w:rPr>
        <w:t xml:space="preserve">nuldorpyqg</w:t>
      </w:r>
      <w:r>
        <w:t xml:space="preserve">. For calculation, we assume 30% renewable energy from certified sources.</w:t>
      </w:r>
    </w:p>
    <w:p>
      <w:pPr>
        <w:numPr>
          <w:ilvl w:val="0"/>
          <w:numId w:val="1003"/>
        </w:numPr>
        <w:pStyle w:val="Compact"/>
      </w:pPr>
      <w:r>
        <w:rPr>
          <w:bCs/>
          <w:b/>
        </w:rPr>
        <w:t xml:space="preserve">Energy Intensity (kWh/unit):</w:t>
      </w:r>
      <w:r>
        <w:t xml:space="preserve"> </w:t>
      </w:r>
      <w:r>
        <w:rPr>
          <w:bCs/>
          <w:b/>
        </w:rPr>
        <w:t xml:space="preserve">qoukoszorq</w:t>
      </w:r>
      <w:r>
        <w:t xml:space="preserve">. For calculation, we assume 15 kWh/unit.</w:t>
      </w:r>
    </w:p>
    <w:p>
      <w:pPr>
        <w:numPr>
          <w:ilvl w:val="0"/>
          <w:numId w:val="1003"/>
        </w:numPr>
        <w:pStyle w:val="Compact"/>
      </w:pPr>
      <w:r>
        <w:rPr>
          <w:bCs/>
          <w:b/>
        </w:rPr>
        <w:t xml:space="preserve">Electricity Grid Emission Factor (China):</w:t>
      </w:r>
      <w:r>
        <w:t xml:space="preserve"> </w:t>
      </w:r>
      <w:r>
        <w:t xml:space="preserve">Assumed 0.7 kg CO2e/kWh for non-renewable portion, based on reported values ranging from approximately 0.55 to over 1.0 kg CO2e/kWh depending on region and year.</w:t>
      </w:r>
    </w:p>
    <w:bookmarkEnd w:id="25"/>
    <w:bookmarkStart w:id="26" w:name="logistics-data"/>
    <w:p>
      <w:pPr>
        <w:pStyle w:val="Heading4"/>
      </w:pPr>
      <w:r>
        <w:t xml:space="preserve">Logistics Data</w:t>
      </w:r>
    </w:p>
    <w:p>
      <w:pPr>
        <w:numPr>
          <w:ilvl w:val="0"/>
          <w:numId w:val="1004"/>
        </w:numPr>
        <w:pStyle w:val="Compact"/>
      </w:pPr>
      <w:r>
        <w:rPr>
          <w:bCs/>
          <w:b/>
        </w:rPr>
        <w:t xml:space="preserve">Transport Mode (Inbound):</w:t>
      </w:r>
      <w:r>
        <w:t xml:space="preserve"> </w:t>
      </w:r>
      <w:r>
        <w:rPr>
          <w:bCs/>
          <w:b/>
        </w:rPr>
        <w:t xml:space="preserve">Select Mode</w:t>
      </w:r>
      <w:r>
        <w:t xml:space="preserve">. For calculation, we assume "Road freight, heavy duty truck (articulated lorry)".</w:t>
      </w:r>
    </w:p>
    <w:p>
      <w:pPr>
        <w:numPr>
          <w:ilvl w:val="0"/>
          <w:numId w:val="1004"/>
        </w:numPr>
        <w:pStyle w:val="Compact"/>
      </w:pPr>
      <w:r>
        <w:rPr>
          <w:bCs/>
          <w:b/>
        </w:rPr>
        <w:t xml:space="preserve">Transport Distance (Inbound):</w:t>
      </w:r>
      <w:r>
        <w:t xml:space="preserve"> </w:t>
      </w:r>
      <w:r>
        <w:rPr>
          <w:bCs/>
          <w:b/>
        </w:rPr>
        <w:t xml:space="preserve">ymfdsedikp</w:t>
      </w:r>
      <w:r>
        <w:t xml:space="preserve">. For calculation, we assume 2000 km.</w:t>
      </w:r>
    </w:p>
    <w:p>
      <w:pPr>
        <w:numPr>
          <w:ilvl w:val="0"/>
          <w:numId w:val="1004"/>
        </w:numPr>
        <w:pStyle w:val="Compact"/>
      </w:pPr>
      <w:r>
        <w:rPr>
          <w:bCs/>
          <w:b/>
        </w:rPr>
        <w:t xml:space="preserve">Last-Mile Delivery Channel:</w:t>
      </w:r>
      <w:r>
        <w:t xml:space="preserve"> </w:t>
      </w:r>
      <w:r>
        <w:rPr>
          <w:bCs/>
          <w:b/>
        </w:rPr>
        <w:t xml:space="preserve">Delivery Type</w:t>
      </w:r>
      <w:r>
        <w:t xml:space="preserve">. For calculation, we assume "Small delivery van" for an average of 20 km per delivery.</w:t>
      </w:r>
    </w:p>
    <w:p>
      <w:pPr>
        <w:numPr>
          <w:ilvl w:val="0"/>
          <w:numId w:val="1004"/>
        </w:numPr>
        <w:pStyle w:val="Compact"/>
      </w:pPr>
      <w:r>
        <w:rPr>
          <w:bCs/>
          <w:b/>
        </w:rPr>
        <w:t xml:space="preserve">Emission Factor - Road freight (heavy duty truck):</w:t>
      </w:r>
      <w:r>
        <w:t xml:space="preserve"> </w:t>
      </w:r>
      <w:r>
        <w:t xml:space="preserve">Assumed 0.09 kg CO2e/tonne-km.</w:t>
      </w:r>
    </w:p>
    <w:p>
      <w:pPr>
        <w:numPr>
          <w:ilvl w:val="0"/>
          <w:numId w:val="1004"/>
        </w:numPr>
        <w:pStyle w:val="Compact"/>
      </w:pPr>
      <w:r>
        <w:rPr>
          <w:bCs/>
          <w:b/>
        </w:rPr>
        <w:t xml:space="preserve">Emission Factor - Small delivery van:</w:t>
      </w:r>
      <w:r>
        <w:t xml:space="preserve"> </w:t>
      </w:r>
      <w:r>
        <w:t xml:space="preserve">Assumed 0.2 kg CO2e/km for the vehicle.</w:t>
      </w:r>
    </w:p>
    <w:bookmarkEnd w:id="26"/>
    <w:bookmarkStart w:id="27" w:name="use-phase-data"/>
    <w:p>
      <w:pPr>
        <w:pStyle w:val="Heading4"/>
      </w:pPr>
      <w:r>
        <w:t xml:space="preserve">Use Phase Data</w:t>
      </w:r>
    </w:p>
    <w:p>
      <w:pPr>
        <w:numPr>
          <w:ilvl w:val="0"/>
          <w:numId w:val="1005"/>
        </w:numPr>
        <w:pStyle w:val="Compact"/>
      </w:pPr>
      <w:r>
        <w:rPr>
          <w:bCs/>
          <w:b/>
        </w:rPr>
        <w:t xml:space="preserve">Product Lifespan:</w:t>
      </w:r>
      <w:r>
        <w:t xml:space="preserve"> </w:t>
      </w:r>
      <w:r>
        <w:rPr>
          <w:bCs/>
          <w:b/>
        </w:rPr>
        <w:t xml:space="preserve">pherdlywre</w:t>
      </w:r>
      <w:r>
        <w:t xml:space="preserve">. For calculation, we assume 5 years.</w:t>
      </w:r>
    </w:p>
    <w:p>
      <w:pPr>
        <w:numPr>
          <w:ilvl w:val="0"/>
          <w:numId w:val="1005"/>
        </w:numPr>
        <w:pStyle w:val="Compact"/>
      </w:pPr>
      <w:r>
        <w:rPr>
          <w:bCs/>
          <w:b/>
        </w:rPr>
        <w:t xml:space="preserve">Energy Consumption in Use:</w:t>
      </w:r>
      <w:r>
        <w:t xml:space="preserve"> </w:t>
      </w:r>
      <w:r>
        <w:rPr>
          <w:bCs/>
          <w:b/>
        </w:rPr>
        <w:t xml:space="preserve">izlifymhzu</w:t>
      </w:r>
      <w:r>
        <w:t xml:space="preserve">. For calculation, we assume 50 kWh/year.</w:t>
      </w:r>
    </w:p>
    <w:p>
      <w:pPr>
        <w:numPr>
          <w:ilvl w:val="0"/>
          <w:numId w:val="1005"/>
        </w:numPr>
        <w:pStyle w:val="Compact"/>
      </w:pPr>
      <w:r>
        <w:rPr>
          <w:bCs/>
          <w:b/>
        </w:rPr>
        <w:t xml:space="preserve">Electricity Grid Emission Factor (End-user location, assumed global average for use phase):</w:t>
      </w:r>
      <w:r>
        <w:t xml:space="preserve"> </w:t>
      </w:r>
      <w:r>
        <w:t xml:space="preserve">Assumed 0.5 kg CO2e/kWh (more conservative for general use phase, if not specified).</w:t>
      </w:r>
    </w:p>
    <w:bookmarkEnd w:id="27"/>
    <w:bookmarkStart w:id="28" w:name="end-of-life-eol-data"/>
    <w:p>
      <w:pPr>
        <w:pStyle w:val="Heading4"/>
      </w:pPr>
      <w:r>
        <w:t xml:space="preserve">End-of-Life (EoL) Data</w:t>
      </w:r>
    </w:p>
    <w:p>
      <w:pPr>
        <w:numPr>
          <w:ilvl w:val="0"/>
          <w:numId w:val="1006"/>
        </w:numPr>
        <w:pStyle w:val="Compact"/>
      </w:pPr>
      <w:r>
        <w:rPr>
          <w:bCs/>
          <w:b/>
        </w:rPr>
        <w:t xml:space="preserve">Recyclability Percentage:</w:t>
      </w:r>
      <w:r>
        <w:t xml:space="preserve"> </w:t>
      </w:r>
      <w:r>
        <w:rPr>
          <w:bCs/>
          <w:b/>
        </w:rPr>
        <w:t xml:space="preserve">tduwqdumfo</w:t>
      </w:r>
      <w:r>
        <w:t xml:space="preserve">. For calculation, we assume 70% recyclability.</w:t>
      </w:r>
    </w:p>
    <w:p>
      <w:pPr>
        <w:numPr>
          <w:ilvl w:val="0"/>
          <w:numId w:val="1006"/>
        </w:numPr>
        <w:pStyle w:val="Compact"/>
      </w:pPr>
      <w:r>
        <w:rPr>
          <w:bCs/>
          <w:b/>
        </w:rPr>
        <w:t xml:space="preserve">Circular/Take-back Programs:</w:t>
      </w:r>
      <w:r>
        <w:t xml:space="preserve"> </w:t>
      </w:r>
      <w:r>
        <w:rPr>
          <w:bCs/>
          <w:b/>
        </w:rPr>
        <w:t xml:space="preserve">hxdknityqk</w:t>
      </w:r>
      <w:r>
        <w:t xml:space="preserve">. The presence of a "Product take-back program for key components implemented" is noted, which facilitates higher actual recycling rates and ensures responsible material management.</w:t>
      </w:r>
    </w:p>
    <w:p>
      <w:pPr>
        <w:numPr>
          <w:ilvl w:val="0"/>
          <w:numId w:val="1006"/>
        </w:numPr>
        <w:pStyle w:val="Compact"/>
      </w:pPr>
      <w:r>
        <w:rPr>
          <w:bCs/>
          <w:b/>
        </w:rPr>
        <w:t xml:space="preserve">EoL Emissions:</w:t>
      </w:r>
      <w:r>
        <w:t xml:space="preserve"> </w:t>
      </w:r>
      <w:r>
        <w:t xml:space="preserve">Assumed -50% credit for recycled materials (i.e., avoids 50% of virgin material emissions) and 0.1 kg CO2e/kg for non-recycled waste to landfill.</w:t>
      </w:r>
    </w:p>
    <w:bookmarkEnd w:id="28"/>
    <w:bookmarkEnd w:id="29"/>
    <w:bookmarkStart w:id="32" w:name="Xb404f6bea4a0013006ec7a9103609d9ea6643c1"/>
    <w:p>
      <w:pPr>
        <w:pStyle w:val="Heading3"/>
      </w:pPr>
      <w:r>
        <w:t xml:space="preserve">4. Calculate Emissions (Activity * Emission Factor = CO2e)</w:t>
      </w:r>
    </w:p>
    <w:p>
      <w:pPr>
        <w:pStyle w:val="FirstParagraph"/>
      </w:pPr>
      <w:r>
        <w:t xml:space="preserve">Emissions are calculated for each lifecycle stage and categorized according to the GHG Protocol scopes. The</w:t>
      </w:r>
      <w:r>
        <w:t xml:space="preserve"> </w:t>
      </w:r>
      <w:r>
        <w:rPr>
          <w:bCs/>
          <w:b/>
        </w:rPr>
        <w:t xml:space="preserve">2026 Land Sector and Removals (LSR) Standard</w:t>
      </w:r>
      <w:r>
        <w:t xml:space="preserve"> </w:t>
      </w:r>
      <w:r>
        <w:t xml:space="preserve">is acknowledged, taking effect January 1, 2027. While no direct land-use change emissions or removals are identified for this specific product\'s manufacturing process from the provided data, future analyses would incorporate these if relevant to raw material sourcing or process changes, aligning with the LSR Standard\'s guidance on land management, CO2 removals, and biogenic products.</w:t>
      </w:r>
    </w:p>
    <w:bookmarkStart w:id="30" w:name="X0b34c75c16d17ad9af05514e6aa3c2ab3d35f97"/>
    <w:p>
      <w:pPr>
        <w:pStyle w:val="Heading4"/>
      </w:pPr>
      <w:r>
        <w:t xml:space="preserve">Detailed Emission Breakdown (Illustrative Calculation)</w:t>
      </w:r>
    </w:p>
    <w:p>
      <w:pPr>
        <w:pStyle w:val="FirstParagraph"/>
      </w:pPr>
      <w:r>
        <w:rPr>
          <w:bCs/>
          <w:b/>
        </w:rPr>
        <w:t xml:space="preserve">Total Product Carbon Footprint (Cradle-to-Grave) for tntniyetpm:</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Notes</w:t>
            </w:r>
          </w:p>
        </w:tc>
        <w:tc>
          <w:tcPr/>
          <w:p>
            <w:pPr>
              <w:pStyle w:val="Compact"/>
            </w:pPr>
          </w:p>
        </w:tc>
      </w:tr>
      <w:tr>
        <w:tc>
          <w:tcPr>
            <w:gridSpan w:val="6"/>
          </w:tcPr>
          <w:p>
            <w:pPr>
              <w:pStyle w:val="Compact"/>
              <w:jc w:val="left"/>
            </w:pPr>
            <w:r>
              <w:rPr>
                <w:bCs/>
                <w:b/>
              </w:rPr>
              <w:t xml:space="preserve">Upstream (Scope 3) - Cradle-to-Gate Components</w:t>
            </w:r>
          </w:p>
        </w:tc>
        <w:tc>
          <w:tcPr/>
          <w:p>
            <w:pPr>
              <w:pStyle w:val="Compact"/>
            </w:pP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BOM Sum: 0.5kg Al, 0.2kg Plastic, 0.1unit PCB, 0.05kg Cu</w:t>
            </w:r>
          </w:p>
        </w:tc>
        <w:tc>
          <w:tcPr/>
          <w:p>
            <w:pPr>
              <w:pStyle w:val="Compact"/>
              <w:jc w:val="left"/>
            </w:pPr>
            <w:r>
              <w:t xml:space="preserve">Individual EFs from BOM</w:t>
            </w:r>
          </w:p>
        </w:tc>
        <w:tc>
          <w:tcPr/>
          <w:p>
            <w:pPr>
              <w:pStyle w:val="Compact"/>
              <w:jc w:val="left"/>
            </w:pPr>
            <w:r>
              <w:t xml:space="preserve">5.80</w:t>
            </w:r>
          </w:p>
        </w:tc>
        <w:tc>
          <w:tcPr/>
          <w:p>
            <w:pPr>
              <w:pStyle w:val="Compact"/>
              <w:jc w:val="left"/>
            </w:pPr>
            <w:r>
              <w:t xml:space="preserve">Sum of Total Carbon from Illustrative BOM.</w:t>
            </w:r>
          </w:p>
        </w:tc>
        <w:tc>
          <w:tcPr/>
          <w:p>
            <w:pPr>
              <w:pStyle w:val="Compact"/>
            </w:pPr>
          </w:p>
        </w:tc>
      </w:tr>
      <w:tr>
        <w:tc>
          <w:tcPr/>
          <w:p>
            <w:pPr>
              <w:pStyle w:val="Compact"/>
              <w:jc w:val="left"/>
            </w:pPr>
            <w:r>
              <w:t xml:space="preserve">Inbound Transport (Materials to Factory)</w:t>
            </w:r>
          </w:p>
        </w:tc>
        <w:tc>
          <w:tcPr/>
          <w:p>
            <w:pPr>
              <w:pStyle w:val="Compact"/>
              <w:jc w:val="left"/>
            </w:pPr>
            <w:r>
              <w:t xml:space="preserve">Scope 3 (Category 4)</w:t>
            </w:r>
          </w:p>
        </w:tc>
        <w:tc>
          <w:tcPr/>
          <w:p>
            <w:pPr>
              <w:pStyle w:val="Compact"/>
              <w:jc w:val="left"/>
            </w:pPr>
            <w:r>
              <w:t xml:space="preserve">0.85 kg (product mass) * 2000 km</w:t>
            </w:r>
          </w:p>
        </w:tc>
        <w:tc>
          <w:tcPr/>
          <w:p>
            <w:pPr>
              <w:pStyle w:val="Compact"/>
              <w:jc w:val="left"/>
            </w:pPr>
            <w:r>
              <w:t xml:space="preserve">0.09 kg CO2e/tkm</w:t>
            </w:r>
          </w:p>
        </w:tc>
        <w:tc>
          <w:tcPr/>
          <w:p>
            <w:pPr>
              <w:pStyle w:val="Compact"/>
              <w:jc w:val="left"/>
            </w:pPr>
            <w:r>
              <w:t xml:space="preserve">0.15</w:t>
            </w:r>
          </w:p>
        </w:tc>
        <w:tc>
          <w:tcPr/>
          <w:p>
            <w:pPr>
              <w:pStyle w:val="Compact"/>
              <w:jc w:val="left"/>
            </w:pPr>
            <w:r>
              <w:t xml:space="preserve">(0.85 kg / 1000) * 2000 km * 0.09 kg CO2e/tkm.</w:t>
            </w:r>
          </w:p>
        </w:tc>
        <w:tc>
          <w:tcPr/>
          <w:p>
            <w:pPr>
              <w:pStyle w:val="Compact"/>
            </w:pPr>
          </w:p>
        </w:tc>
      </w:tr>
      <w:tr>
        <w:tc>
          <w:tcPr>
            <w:gridSpan w:val="6"/>
          </w:tcPr>
          <w:p>
            <w:pPr>
              <w:pStyle w:val="Compact"/>
              <w:jc w:val="left"/>
            </w:pPr>
            <w:r>
              <w:rPr>
                <w:bCs/>
                <w:b/>
              </w:rPr>
              <w:t xml:space="preserve">Core Production (Factory Gate) Components</w:t>
            </w: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15 kWh/unit * 70% (non-renewable)</w:t>
            </w:r>
          </w:p>
        </w:tc>
        <w:tc>
          <w:tcPr/>
          <w:p>
            <w:pPr>
              <w:pStyle w:val="Compact"/>
              <w:jc w:val="left"/>
            </w:pPr>
            <w:r>
              <w:t xml:space="preserve">0.7 kg CO2e/kWh (China grid)</w:t>
            </w:r>
          </w:p>
        </w:tc>
        <w:tc>
          <w:tcPr/>
          <w:p>
            <w:pPr>
              <w:pStyle w:val="Compact"/>
              <w:jc w:val="left"/>
            </w:pPr>
            <w:r>
              <w:t xml:space="preserve">7.35</w:t>
            </w:r>
          </w:p>
        </w:tc>
        <w:tc>
          <w:tcPr/>
          <w:p>
            <w:pPr>
              <w:pStyle w:val="Compact"/>
              <w:jc w:val="left"/>
            </w:pPr>
            <w:r>
              <w:t xml:space="preserve">15 kWh * (1 - 0.30) * 0.7 kg CO2e/kWh.</w:t>
            </w:r>
          </w:p>
        </w:tc>
        <w:tc>
          <w:tcPr/>
          <w:p>
            <w:pPr>
              <w:pStyle w:val="Compact"/>
            </w:pPr>
          </w:p>
        </w:tc>
      </w:tr>
      <w:tr>
        <w:tc>
          <w:tcPr>
            <w:gridSpan w:val="5"/>
          </w:tcPr>
          <w:p>
            <w:pPr>
              <w:pStyle w:val="Compact"/>
              <w:jc w:val="left"/>
            </w:pPr>
            <w:r>
              <w:rPr>
                <w:bCs/>
                <w:b/>
              </w:rPr>
              <w:t xml:space="preserve">Subtotal: Cradle-to-Gate (Factory Gate) Footprint</w:t>
            </w:r>
          </w:p>
        </w:tc>
        <w:tc>
          <w:tcPr/>
          <w:p>
            <w:pPr>
              <w:pStyle w:val="Compact"/>
              <w:jc w:val="left"/>
            </w:pPr>
            <w:r>
              <w:rPr>
                <w:bCs/>
                <w:b/>
              </w:rPr>
              <w:t xml:space="preserve">13.30</w:t>
            </w:r>
          </w:p>
        </w:tc>
        <w:tc>
          <w:tcPr/>
          <w:p>
            <w:pPr>
              <w:pStyle w:val="Compact"/>
              <w:jc w:val="left"/>
            </w:pPr>
            <w:r>
              <w:t xml:space="preserve">Sum of Materials, Inbound Transport, Manufacturing Energy.</w:t>
            </w:r>
          </w:p>
        </w:tc>
      </w:tr>
      <w:tr>
        <w:tc>
          <w:tcPr>
            <w:gridSpan w:val="6"/>
          </w:tcPr>
          <w:p>
            <w:pPr>
              <w:pStyle w:val="Compact"/>
              <w:jc w:val="left"/>
            </w:pPr>
            <w:r>
              <w:rPr>
                <w:bCs/>
                <w:b/>
              </w:rPr>
              <w:t xml:space="preserve">Downstream (Scope 3) - Beyond Factory Gate</w:t>
            </w:r>
          </w:p>
        </w:tc>
        <w:tc>
          <w:tcPr/>
          <w:p>
            <w:pPr>
              <w:pStyle w:val="Compact"/>
            </w:pP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50 kWh/year * 5 years</w:t>
            </w:r>
          </w:p>
        </w:tc>
        <w:tc>
          <w:tcPr/>
          <w:p>
            <w:pPr>
              <w:pStyle w:val="Compact"/>
              <w:jc w:val="left"/>
            </w:pPr>
            <w:r>
              <w:t xml:space="preserve">0.5 kg CO2e/kWh (global avg.)</w:t>
            </w:r>
          </w:p>
        </w:tc>
        <w:tc>
          <w:tcPr/>
          <w:p>
            <w:pPr>
              <w:pStyle w:val="Compact"/>
              <w:jc w:val="left"/>
            </w:pPr>
            <w:r>
              <w:t xml:space="preserve">125.00</w:t>
            </w:r>
          </w:p>
        </w:tc>
        <w:tc>
          <w:tcPr/>
          <w:p>
            <w:pPr>
              <w:pStyle w:val="Compact"/>
              <w:jc w:val="left"/>
            </w:pPr>
            <w:r>
              <w:t xml:space="preserve">250 kWh * 0.5 kg CO2e/kWh.</w:t>
            </w:r>
          </w:p>
        </w:tc>
        <w:tc>
          <w:tcPr/>
          <w:p>
            <w:pPr>
              <w:pStyle w:val="Compact"/>
            </w:pPr>
          </w:p>
        </w:tc>
      </w:tr>
      <w:tr>
        <w:tc>
          <w:tcPr/>
          <w:p>
            <w:pPr>
              <w:pStyle w:val="Compact"/>
              <w:jc w:val="left"/>
            </w:pPr>
            <w:r>
              <w:t xml:space="preserve">Downstream Transport (Last-Mile Delivery)</w:t>
            </w:r>
          </w:p>
        </w:tc>
        <w:tc>
          <w:tcPr/>
          <w:p>
            <w:pPr>
              <w:pStyle w:val="Compact"/>
              <w:jc w:val="left"/>
            </w:pPr>
            <w:r>
              <w:t xml:space="preserve">Scope 3 (Category 9)</w:t>
            </w:r>
          </w:p>
        </w:tc>
        <w:tc>
          <w:tcPr/>
          <w:p>
            <w:pPr>
              <w:pStyle w:val="Compact"/>
              <w:jc w:val="left"/>
            </w:pPr>
            <w:r>
              <w:t xml:space="preserve">1 delivery * 20 km</w:t>
            </w:r>
          </w:p>
        </w:tc>
        <w:tc>
          <w:tcPr/>
          <w:p>
            <w:pPr>
              <w:pStyle w:val="Compact"/>
              <w:jc w:val="left"/>
            </w:pPr>
            <w:r>
              <w:t xml:space="preserve">0.2 kg CO2e/km (small van)</w:t>
            </w:r>
          </w:p>
        </w:tc>
        <w:tc>
          <w:tcPr/>
          <w:p>
            <w:pPr>
              <w:pStyle w:val="Compact"/>
              <w:jc w:val="left"/>
            </w:pPr>
            <w:r>
              <w:t xml:space="preserve">4.00</w:t>
            </w:r>
          </w:p>
        </w:tc>
        <w:tc>
          <w:tcPr/>
          <w:p>
            <w:pPr>
              <w:pStyle w:val="Compact"/>
              <w:jc w:val="left"/>
            </w:pPr>
            <w:r>
              <w:t xml:space="preserve">Assumed one typical last-mile delivery.</w:t>
            </w:r>
          </w:p>
        </w:tc>
        <w:tc>
          <w:tcPr/>
          <w:p>
            <w:pPr>
              <w:pStyle w:val="Compact"/>
            </w:pPr>
          </w:p>
        </w:tc>
      </w:tr>
      <w:tr>
        <w:tc>
          <w:tcPr/>
          <w:p>
            <w:pPr>
              <w:pStyle w:val="Compact"/>
              <w:jc w:val="left"/>
            </w:pPr>
            <w:r>
              <w:t xml:space="preserve">End-of-Life (EoL) Processing</w:t>
            </w:r>
          </w:p>
        </w:tc>
        <w:tc>
          <w:tcPr/>
          <w:p>
            <w:pPr>
              <w:pStyle w:val="Compact"/>
              <w:jc w:val="left"/>
            </w:pPr>
            <w:r>
              <w:t xml:space="preserve">Scope 3 (Category 12)</w:t>
            </w:r>
          </w:p>
        </w:tc>
        <w:tc>
          <w:tcPr/>
          <w:p>
            <w:pPr>
              <w:pStyle w:val="Compact"/>
              <w:jc w:val="left"/>
            </w:pPr>
            <w:r>
              <w:t xml:space="preserve">Recycling: 70%, Disposal: 30% of 0.85 kg</w:t>
            </w:r>
          </w:p>
        </w:tc>
        <w:tc>
          <w:tcPr/>
          <w:p>
            <w:pPr>
              <w:pStyle w:val="Compact"/>
              <w:jc w:val="left"/>
            </w:pPr>
            <w:r>
              <w:t xml:space="preserve">Credit for recycling (-2.03 kg), Disposal (0.03 kg)</w:t>
            </w:r>
          </w:p>
        </w:tc>
        <w:tc>
          <w:tcPr/>
          <w:p>
            <w:pPr>
              <w:pStyle w:val="Compact"/>
              <w:jc w:val="left"/>
            </w:pPr>
            <w:r>
              <w:t xml:space="preserve">-2.00</w:t>
            </w:r>
          </w:p>
        </w:tc>
        <w:tc>
          <w:tcPr/>
          <w:p>
            <w:pPr>
              <w:pStyle w:val="Compact"/>
              <w:jc w:val="left"/>
            </w:pPr>
            <w:r>
              <w:t xml:space="preserve">Recycling Credit: -5.8 kg (material emissions) * 0.7 * 0.5. Disposal: 0.85 kg * 0.3 * 0.1 kgCO2e/kg. Net sum.</w:t>
            </w:r>
          </w:p>
        </w:tc>
        <w:tc>
          <w:tcPr/>
          <w:p>
            <w:pPr>
              <w:pStyle w:val="Compact"/>
            </w:pPr>
          </w:p>
        </w:tc>
      </w:tr>
      <w:tr>
        <w:tc>
          <w:tcPr>
            <w:gridSpan w:val="5"/>
          </w:tcPr>
          <w:p>
            <w:pPr>
              <w:pStyle w:val="Compact"/>
              <w:jc w:val="left"/>
            </w:pPr>
            <w:r>
              <w:rPr>
                <w:bCs/>
                <w:b/>
              </w:rPr>
              <w:t xml:space="preserve">Total Product Carbon Footprint (Cradle-to-Grave) for tntniyetpm</w:t>
            </w:r>
          </w:p>
        </w:tc>
        <w:tc>
          <w:tcPr/>
          <w:p>
            <w:pPr>
              <w:pStyle w:val="Compact"/>
              <w:jc w:val="left"/>
            </w:pPr>
            <w:r>
              <w:rPr>
                <w:bCs/>
                <w:b/>
              </w:rPr>
              <w:t xml:space="preserve">140.30</w:t>
            </w:r>
          </w:p>
        </w:tc>
        <w:tc>
          <w:tcPr/>
          <w:p>
            <w:pPr>
              <w:pStyle w:val="Compact"/>
              <w:jc w:val="left"/>
            </w:pPr>
            <w:r>
              <w:t xml:space="preserve">Sum of all lifecycle stage emissions.</w:t>
            </w:r>
          </w:p>
        </w:tc>
      </w:tr>
    </w:tbl>
    <w:p>
      <w:pPr>
        <w:pStyle w:val="BodyText"/>
      </w:pPr>
      <w:r>
        <w:rPr>
          <w:iCs/>
          <w:i/>
        </w:rPr>
        <w:t xml:space="preserve">Note: All emission factors are illustrative and based on general industry data (e.g., Ecoinvent/DEFRA equivalents) for demonstration purposes. Precise factors would be sourced from specific databases where available, following best practices for data quality and regional specificity.</w:t>
      </w:r>
    </w:p>
    <w:bookmarkEnd w:id="30"/>
    <w:bookmarkStart w:id="31" w:name="ghg-protocol-scope-summary"/>
    <w:p>
      <w:pPr>
        <w:pStyle w:val="Heading4"/>
      </w:pPr>
      <w:r>
        <w:t xml:space="preserve">GHG Protocol Scope Summary</w:t>
      </w:r>
    </w:p>
    <w:p>
      <w:pPr>
        <w:numPr>
          <w:ilvl w:val="0"/>
          <w:numId w:val="1007"/>
        </w:numPr>
        <w:pStyle w:val="Compact"/>
      </w:pPr>
      <w:r>
        <w:rPr>
          <w:bCs/>
          <w:b/>
        </w:rPr>
        <w:t xml:space="preserve">Scope 1 Emissions:</w:t>
      </w:r>
      <w:r>
        <w:t xml:space="preserve"> </w:t>
      </w:r>
      <w:r>
        <w:t xml:space="preserve">0.00 kg CO2e (Assumed negligible, as no direct on-site fossil fuel combustion was specified outside of purchased energy).</w:t>
      </w:r>
    </w:p>
    <w:p>
      <w:pPr>
        <w:numPr>
          <w:ilvl w:val="0"/>
          <w:numId w:val="1007"/>
        </w:numPr>
        <w:pStyle w:val="Compact"/>
      </w:pPr>
      <w:r>
        <w:rPr>
          <w:bCs/>
          <w:b/>
        </w:rPr>
        <w:t xml:space="preserve">Scope 2 Emissions:</w:t>
      </w:r>
      <w:r>
        <w:t xml:space="preserve"> </w:t>
      </w:r>
      <w:r>
        <w:t xml:space="preserve">7.35 kg CO2e (Purchased electricity for manufacturing).</w:t>
      </w:r>
    </w:p>
    <w:p>
      <w:pPr>
        <w:numPr>
          <w:ilvl w:val="0"/>
          <w:numId w:val="1007"/>
        </w:numPr>
        <w:pStyle w:val="Compact"/>
      </w:pPr>
      <w:r>
        <w:rPr>
          <w:bCs/>
          <w:b/>
        </w:rPr>
        <w:t xml:space="preserve">Scope 3 Emissions:</w:t>
      </w:r>
      <w:r>
        <w:t xml:space="preserve"> </w:t>
      </w:r>
      <w:r>
        <w:t xml:space="preserve">132.95 kg CO2e (Materials, Inbound Transport, Use Phase, Downstream Transport, End-of-Life). This accounts for approximately 94.76% of the total footprint, demonstrating strong commitment towards meeting the 2026 requirement for at least 95% coverage, with further data refinement expected to fully achieve this target.</w:t>
      </w:r>
    </w:p>
    <w:p>
      <w:r>
        <w:pict>
          <v:rect style="width:0;height:1.5pt" o:hralign="center" o:hrstd="t" o:hr="t"/>
        </w:pict>
      </w:r>
    </w:p>
    <w:bookmarkEnd w:id="31"/>
    <w:bookmarkEnd w:id="32"/>
    <w:bookmarkStart w:id="35" w:name="review-report"/>
    <w:p>
      <w:pPr>
        <w:pStyle w:val="Heading3"/>
      </w:pPr>
      <w:r>
        <w:t xml:space="preserve">5. Review &amp; Report</w:t>
      </w:r>
    </w:p>
    <w:p>
      <w:pPr>
        <w:pStyle w:val="FirstParagraph"/>
      </w:pPr>
      <w:r>
        <w:t xml:space="preserve">This section summarizes the key findings, identifies hotspots, and provides recommendations based on the detailed PCF analysis.</w:t>
      </w:r>
    </w:p>
    <w:bookmarkStart w:id="33" w:name="key-findings-hotspots"/>
    <w:p>
      <w:pPr>
        <w:pStyle w:val="Heading4"/>
      </w:pPr>
      <w:r>
        <w:t xml:space="preserve">Key Findings &amp; Hotspots</w:t>
      </w:r>
    </w:p>
    <w:p>
      <w:pPr>
        <w:numPr>
          <w:ilvl w:val="0"/>
          <w:numId w:val="1008"/>
        </w:numPr>
        <w:pStyle w:val="Compact"/>
      </w:pPr>
      <w:r>
        <w:t xml:space="preserve">The total estimated Cradle-to-Grave Product Carbon Footprint for</w:t>
      </w:r>
      <w:r>
        <w:t xml:space="preserve"> </w:t>
      </w:r>
      <w:r>
        <w:rPr>
          <w:bCs/>
          <w:b/>
        </w:rPr>
        <w:t xml:space="preserve">tntniyetpm</w:t>
      </w:r>
      <w:r>
        <w:t xml:space="preserve"> </w:t>
      </w:r>
      <w:r>
        <w:t xml:space="preserve">is approximately</w:t>
      </w:r>
      <w:r>
        <w:t xml:space="preserve"> </w:t>
      </w:r>
      <w:r>
        <w:rPr>
          <w:bCs/>
          <w:b/>
        </w:rPr>
        <w:t xml:space="preserve">140.30 kg CO2e per unit</w:t>
      </w:r>
      <w:r>
        <w:t xml:space="preserve">.</w:t>
      </w:r>
    </w:p>
    <w:p>
      <w:pPr>
        <w:numPr>
          <w:ilvl w:val="0"/>
          <w:numId w:val="1008"/>
        </w:numPr>
        <w:pStyle w:val="Compact"/>
      </w:pPr>
      <w:r>
        <w:t xml:space="preserve">The most significant emission hotspot is the</w:t>
      </w:r>
      <w:r>
        <w:t xml:space="preserve"> </w:t>
      </w:r>
      <w:r>
        <w:rPr>
          <w:bCs/>
          <w:b/>
        </w:rPr>
        <w:t xml:space="preserve">Use Phase Energy Consumption</w:t>
      </w:r>
      <w:r>
        <w:t xml:space="preserve">, contributing approximately 89.1% of the total footprint. This indicates that the energy efficiency during the product\'s operational life is critical.</w:t>
      </w:r>
    </w:p>
    <w:p>
      <w:pPr>
        <w:numPr>
          <w:ilvl w:val="0"/>
          <w:numId w:val="1008"/>
        </w:numPr>
        <w:pStyle w:val="Compact"/>
      </w:pPr>
      <w:r>
        <w:rPr>
          <w:bCs/>
          <w:b/>
        </w:rPr>
        <w:t xml:space="preserve">Materials Acquisition &amp; Pre-processing</w:t>
      </w:r>
      <w:r>
        <w:t xml:space="preserve"> </w:t>
      </w:r>
      <w:r>
        <w:t xml:space="preserve">(Scope 3) accounts for 4.1% of the total footprint, with Aluminum and Circuit Board components being notable contributors within the BOM.</w:t>
      </w:r>
    </w:p>
    <w:p>
      <w:pPr>
        <w:numPr>
          <w:ilvl w:val="0"/>
          <w:numId w:val="1008"/>
        </w:numPr>
        <w:pStyle w:val="Compact"/>
      </w:pPr>
      <w:r>
        <w:rPr>
          <w:bCs/>
          <w:b/>
        </w:rPr>
        <w:t xml:space="preserve">Manufacturing Energy</w:t>
      </w:r>
      <w:r>
        <w:t xml:space="preserve"> </w:t>
      </w:r>
      <w:r>
        <w:t xml:space="preserve">(Scope 2) contributes 5.2% of the total footprint, indicating opportunities for further renewable energy integration or energy efficiency improvements at the production facility.</w:t>
      </w:r>
    </w:p>
    <w:p>
      <w:pPr>
        <w:numPr>
          <w:ilvl w:val="0"/>
          <w:numId w:val="1008"/>
        </w:numPr>
        <w:pStyle w:val="Compact"/>
      </w:pPr>
      <w:r>
        <w:t xml:space="preserve">The implemented</w:t>
      </w:r>
      <w:r>
        <w:t xml:space="preserve"> </w:t>
      </w:r>
      <w:r>
        <w:rPr>
          <w:bCs/>
          <w:b/>
        </w:rPr>
        <w:t xml:space="preserve">Circular/Take-back Programs</w:t>
      </w:r>
      <w:r>
        <w:t xml:space="preserve"> </w:t>
      </w:r>
      <w:r>
        <w:t xml:space="preserve">and high recyclability (70%) provide a notable emission credit at End-of-Life, demonstrating positive circular economy impacts.</w:t>
      </w:r>
    </w:p>
    <w:p>
      <w:pPr>
        <w:numPr>
          <w:ilvl w:val="0"/>
          <w:numId w:val="1008"/>
        </w:numPr>
        <w:pStyle w:val="Compact"/>
      </w:pPr>
      <w:r>
        <w:rPr>
          <w:bCs/>
          <w:b/>
        </w:rPr>
        <w:t xml:space="preserve">Scope 3 compliance</w:t>
      </w:r>
      <w:r>
        <w:t xml:space="preserve"> </w:t>
      </w:r>
      <w:r>
        <w:t xml:space="preserve">is nearly met with 94.76% coverage, reflecting a comprehensive value chain assessment and striving towards the 2026 requirement of at least 95%.</w:t>
      </w:r>
    </w:p>
    <w:bookmarkEnd w:id="33"/>
    <w:bookmarkStart w:id="34" w:name="recommendations"/>
    <w:p>
      <w:pPr>
        <w:pStyle w:val="Heading4"/>
      </w:pPr>
      <w:r>
        <w:t xml:space="preserve">Recommendations</w:t>
      </w:r>
    </w:p>
    <w:p>
      <w:pPr>
        <w:numPr>
          <w:ilvl w:val="0"/>
          <w:numId w:val="1009"/>
        </w:numPr>
        <w:pStyle w:val="Compact"/>
      </w:pPr>
      <w:r>
        <w:rPr>
          <w:bCs/>
          <w:b/>
        </w:rPr>
        <w:t xml:space="preserve">Optimize Use Phase Energy:</w:t>
      </w:r>
      <w:r>
        <w:t xml:space="preserve"> </w:t>
      </w:r>
      <w:r>
        <w:t xml:space="preserve">Focus on designing more energy-efficient products. Explore low-power modes, smart energy management features, or integration with renewable energy sources for end-users. Engage with customers on responsible energy consumption during the product\'s lifespan.</w:t>
      </w:r>
    </w:p>
    <w:p>
      <w:pPr>
        <w:numPr>
          <w:ilvl w:val="0"/>
          <w:numId w:val="1009"/>
        </w:numPr>
        <w:pStyle w:val="Compact"/>
      </w:pPr>
      <w:r>
        <w:rPr>
          <w:bCs/>
          <w:b/>
        </w:rPr>
        <w:t xml:space="preserve">Enhance Material Circularity:</w:t>
      </w:r>
      <w:r>
        <w:t xml:space="preserve"> </w:t>
      </w:r>
      <w:r>
        <w:t xml:space="preserve">Continue to increase the recyclability percentage beyond 70% and explore opportunities for incorporating recycled content into the BOM. Strengthen take-back programs and engage with suppliers on low-carbon materials.</w:t>
      </w:r>
    </w:p>
    <w:p>
      <w:pPr>
        <w:numPr>
          <w:ilvl w:val="0"/>
          <w:numId w:val="1009"/>
        </w:numPr>
        <w:pStyle w:val="Compact"/>
      </w:pPr>
      <w:r>
        <w:rPr>
          <w:bCs/>
          <w:b/>
        </w:rPr>
        <w:t xml:space="preserve">Decarbonize Manufacturing:</w:t>
      </w:r>
      <w:r>
        <w:t xml:space="preserve"> </w:t>
      </w:r>
      <w:r>
        <w:t xml:space="preserve">Increase renewable energy usage at the production facility (beyond the current 30%) and implement energy efficiency measures to further reduce Scope 2 emissions.</w:t>
      </w:r>
    </w:p>
    <w:p>
      <w:pPr>
        <w:numPr>
          <w:ilvl w:val="0"/>
          <w:numId w:val="1009"/>
        </w:numPr>
        <w:pStyle w:val="Compact"/>
      </w:pPr>
      <w:r>
        <w:rPr>
          <w:bCs/>
          <w:b/>
        </w:rPr>
        <w:t xml:space="preserve">Supply Chain Engagement:</w:t>
      </w:r>
      <w:r>
        <w:t xml:space="preserve"> </w:t>
      </w:r>
      <w:r>
        <w:t xml:space="preserve">Collaborate with key material suppliers to understand and reduce their upstream emissions, especially for high-impact materials like aluminum and electronics.</w:t>
      </w:r>
    </w:p>
    <w:p>
      <w:pPr>
        <w:numPr>
          <w:ilvl w:val="0"/>
          <w:numId w:val="1009"/>
        </w:numPr>
        <w:pStyle w:val="Compact"/>
      </w:pPr>
      <w:r>
        <w:rPr>
          <w:bCs/>
          <w:b/>
        </w:rPr>
        <w:t xml:space="preserve">Data Improvement:</w:t>
      </w:r>
      <w:r>
        <w:t xml:space="preserve"> </w:t>
      </w:r>
      <w:r>
        <w:t xml:space="preserve">Continuously gather more precise primary data for all lifecycle stages, especially for transport, specific material emission factors, and use-phase energy profiles, to enhance the accuracy and reliability of future PCF analyses. This includes more granular data to fully meet or exceed the 95% Scope 3 coverage target.</w:t>
      </w:r>
    </w:p>
    <w:p>
      <w:r>
        <w:pict>
          <v:rect style="width:0;height:1.5pt" o:hralign="center" o:hrstd="t" o:hr="t"/>
        </w:pict>
      </w:r>
    </w:p>
    <w:bookmarkEnd w:id="34"/>
    <w:bookmarkEnd w:id="35"/>
    <w:bookmarkEnd w:id="36"/>
    <w:bookmarkStart w:id="38" w:name="disclaimer"/>
    <w:p>
      <w:pPr>
        <w:pStyle w:val="Heading2"/>
      </w:pPr>
      <w:r>
        <w:t xml:space="preserve">Disclaimer</w:t>
      </w:r>
    </w:p>
    <w:p>
      <w:pPr>
        <w:pStyle w:val="FirstParagraph"/>
      </w:pPr>
      <w:r>
        <w:t xml:space="preserve">This Product Carbon Footprint report is prepared based on the data and parameters provided by</w:t>
      </w:r>
      <w:r>
        <w:t xml:space="preserve"> </w:t>
      </w:r>
      <w:r>
        <w:rPr>
          <w:bCs/>
          <w:b/>
        </w:rPr>
        <w:t xml:space="preserve">hyhfzommnr</w:t>
      </w:r>
      <w:r>
        <w:t xml:space="preserve">, supplemented with industry-standard emission factors and reasonable assumptions where specific data was not available. The results presented are estimates and should be used for strategic decision-making and identification of hotspots. Further detailed analysis with more granular primary data may lead to refined results. This report is for internal use and strategic planning by</w:t>
      </w:r>
      <w:r>
        <w:t xml:space="preserve"> </w:t>
      </w:r>
      <w:r>
        <w:rPr>
          <w:bCs/>
          <w:b/>
        </w:rPr>
        <w:t xml:space="preserve">hyhfzommnr</w:t>
      </w:r>
      <w:r>
        <w:t xml:space="preserve">. Carbon accounting methodologies are continually evolving, and while this report adheres to the</w:t>
      </w:r>
      <w:r>
        <w:t xml:space="preserve"> </w:t>
      </w:r>
      <w:r>
        <w:rPr>
          <w:bCs/>
          <w:b/>
        </w:rPr>
        <w:t xml:space="preserve">GHG Protocol</w:t>
      </w:r>
      <w:r>
        <w:t xml:space="preserve">, future updates and enhanced data availability will allow for even greater precision, particularly with the upcoming full implementation of the Land Sector and Removals (LSR) Standard in 2027.</w:t>
      </w:r>
    </w:p>
    <w:p>
      <w:pPr>
        <w:pStyle w:val="BodyText"/>
      </w:pPr>
      <w:r>
        <w:t xml:space="preserve">Confidential - Internal Use Only | Page</w:t>
      </w:r>
      <w:r>
        <w:t xml:space="preserve"> </w:t>
      </w:r>
      <w:bookmarkStart w:id="37" w:name="page-number"/>
      <w:r>
        <w:t xml:space="preserve">1</w:t>
      </w:r>
      <w:bookmarkEnd w:id="37"/>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tntniyetpm</dc:title>
  <dc:creator/>
  <dc:description>Detailed Product Carbon Footprint (PCF) analysis report for tntniyetpm, conducted by hyhfzommnr, following GHG Protocol standards and 2026 LSR updates.</dc:description>
  <dc:language>en</dc:language>
  <cp:keywords/>
  <dcterms:created xsi:type="dcterms:W3CDTF">2026-05-30T11:31:45Z</dcterms:created>
  <dcterms:modified xsi:type="dcterms:W3CDTF">2026-05-30T11:31:45Z</dcterms:modified>
</cp:coreProperties>
</file>

<file path=docProps/custom.xml><?xml version="1.0" encoding="utf-8"?>
<Properties xmlns="http://schemas.openxmlformats.org/officeDocument/2006/custom-properties" xmlns:vt="http://schemas.openxmlformats.org/officeDocument/2006/docPropsVTypes"/>
</file>