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tnlpkgthzq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tnlpkgthzq</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dofnxxxoff</w:t>
      </w:r>
    </w:p>
    <w:p>
      <w:pPr>
        <w:pStyle w:val="BodyText"/>
      </w:pPr>
      <w:r>
        <w:rPr>
          <w:bCs/>
          <w:b/>
        </w:rPr>
        <w:t xml:space="preserve">Senior Sustainability Consultant:</w:t>
      </w:r>
      <w:r>
        <w:t xml:space="preserve"> </w:t>
      </w:r>
      <w:r>
        <w:t xml:space="preserve">tkgpgghjxo</w:t>
      </w:r>
    </w:p>
    <w:p>
      <w:pPr>
        <w:pStyle w:val="BodyText"/>
      </w:pPr>
      <w:r>
        <w:t xml:space="preserve">This report is generated based on available data and industry standards, providing a high-level estimation of the product\'s carbon footprint. Accuracy is dependent on the completeness and precision of the input parameters.</w:t>
      </w:r>
    </w:p>
    <w:bookmarkEnd w:id="20"/>
    <w:bookmarkStart w:id="21" w:name="X4d28b9c9dbc3d84de4d5e779b78c90e8e376e6f"/>
    <w:p>
      <w:pPr>
        <w:pStyle w:val="Heading1"/>
      </w:pPr>
      <w:r>
        <w:t xml:space="preserve">Product Carbon Footprint Analysis for tnlpkgthzq</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tnlpkgthzq</w:t>
      </w:r>
      <w:r>
        <w:t xml:space="preserve">, performed by</w:t>
      </w:r>
      <w:r>
        <w:t xml:space="preserve"> </w:t>
      </w:r>
      <w:r>
        <w:rPr>
          <w:bCs/>
          <w:b/>
        </w:rPr>
        <w:t xml:space="preserve">tkgpgghjxo</w:t>
      </w:r>
      <w:r>
        <w:t xml:space="preserve">, a Senior Sustainability Consultant specializing in GHG Protocol, for the company</w:t>
      </w:r>
      <w:r>
        <w:t xml:space="preserve"> </w:t>
      </w:r>
      <w:r>
        <w:rPr>
          <w:bCs/>
          <w:b/>
        </w:rPr>
        <w:t xml:space="preserve">dofnxxxoff</w:t>
      </w:r>
      <w:r>
        <w:t xml:space="preserve">. The analysis adheres to the Greenhouse Gas (GHG) Protocol standards, including the latest 2026 Land Sector and Removals (LSR) update, and aims for at least 95% coverage for Scope 3 emissions. The total estimated Product Carbon Footprint for one functional unit of tnlpkgthzq is</w:t>
      </w:r>
      <w:r>
        <w:t xml:space="preserve"> </w:t>
      </w:r>
      <w:r>
        <w:rPr>
          <w:bCs/>
          <w:b/>
        </w:rPr>
        <w:t xml:space="preserve">22.73 kg CO2e</w:t>
      </w:r>
      <w:r>
        <w:t xml:space="preserve">. Key hotspots identified include the Use Phase due to energy consumption and the Material Acquisition phase.</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objective of this analysis is to quantify the total greenhouse gas (GHG) emissions associated with the lifecycle of the product tnlpkgthzq. This assessment helps dofnxxxoff understand the environmental impact of its product, identify carbon hotspots, and inform strategies for reduction and sustainability improvements.</w:t>
      </w:r>
    </w:p>
    <w:p>
      <w:pPr>
        <w:numPr>
          <w:ilvl w:val="0"/>
          <w:numId w:val="1001"/>
        </w:numPr>
        <w:pStyle w:val="Compact"/>
      </w:pPr>
      <w:r>
        <w:rPr>
          <w:bCs/>
          <w:b/>
        </w:rPr>
        <w:t xml:space="preserve">Product Name:</w:t>
      </w:r>
      <w:r>
        <w:t xml:space="preserve"> </w:t>
      </w:r>
      <w:r>
        <w:t xml:space="preserve">tnlpkgthzq</w:t>
      </w:r>
    </w:p>
    <w:p>
      <w:pPr>
        <w:numPr>
          <w:ilvl w:val="0"/>
          <w:numId w:val="1001"/>
        </w:numPr>
        <w:pStyle w:val="Compact"/>
      </w:pPr>
      <w:r>
        <w:rPr>
          <w:bCs/>
          <w:b/>
        </w:rPr>
        <w:t xml:space="preserve">Company Name:</w:t>
      </w:r>
      <w:r>
        <w:t xml:space="preserve"> </w:t>
      </w:r>
      <w:r>
        <w:t xml:space="preserve">dofnxxxoff</w:t>
      </w:r>
    </w:p>
    <w:p>
      <w:pPr>
        <w:numPr>
          <w:ilvl w:val="0"/>
          <w:numId w:val="1001"/>
        </w:numPr>
        <w:pStyle w:val="Compact"/>
      </w:pPr>
      <w:r>
        <w:rPr>
          <w:bCs/>
          <w:b/>
        </w:rPr>
        <w:t xml:space="preserve">Senior Sustainability Consultant:</w:t>
      </w:r>
      <w:r>
        <w:t xml:space="preserve"> </w:t>
      </w:r>
      <w:r>
        <w:t xml:space="preserve">tkgpgghjxo</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w:t>
      </w:r>
    </w:p>
    <w:bookmarkEnd w:id="23"/>
    <w:bookmarkStart w:id="27" w:name="methodology"/>
    <w:p>
      <w:pPr>
        <w:pStyle w:val="Heading2"/>
      </w:pPr>
      <w:r>
        <w:t xml:space="preserve">2. Methodology</w:t>
      </w:r>
    </w:p>
    <w:p>
      <w:pPr>
        <w:pStyle w:val="FirstParagraph"/>
      </w:pPr>
      <w:r>
        <w:t xml:space="preserve">The Product Carbon Footprint (PCF) analysis for tnlpkgthzq follows the five-step approach mandated by the GHG Protocol, ensuring a systematic and comprehensive assessment:</w:t>
      </w:r>
    </w:p>
    <w:p>
      <w:pPr>
        <w:numPr>
          <w:ilvl w:val="0"/>
          <w:numId w:val="1002"/>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2"/>
        </w:numPr>
        <w:pStyle w:val="Compact"/>
      </w:pPr>
      <w:r>
        <w:rPr>
          <w:bCs/>
          <w:b/>
        </w:rPr>
        <w:t xml:space="preserve">Map Lifecycle (LCI Inventory Stages):</w:t>
      </w:r>
      <w:r>
        <w:t xml:space="preserve"> </w:t>
      </w:r>
      <w:r>
        <w:t xml:space="preserve">Identifying all relevant stages of the product\'s life, from raw material extraction to end-of-life.</w:t>
      </w:r>
    </w:p>
    <w:p>
      <w:pPr>
        <w:numPr>
          <w:ilvl w:val="0"/>
          <w:numId w:val="1002"/>
        </w:numPr>
        <w:pStyle w:val="Compact"/>
      </w:pPr>
      <w:r>
        <w:rPr>
          <w:bCs/>
          <w:b/>
        </w:rPr>
        <w:t xml:space="preserve">Collect Data:</w:t>
      </w:r>
      <w:r>
        <w:t xml:space="preserve"> </w:t>
      </w:r>
      <w:r>
        <w:t xml:space="preserve">Gathering primary and secondary data for each lifecycle stage.</w:t>
      </w:r>
    </w:p>
    <w:p>
      <w:pPr>
        <w:numPr>
          <w:ilvl w:val="0"/>
          <w:numId w:val="1002"/>
        </w:numPr>
        <w:pStyle w:val="Compact"/>
      </w:pPr>
      <w:r>
        <w:rPr>
          <w:bCs/>
          <w:b/>
        </w:rPr>
        <w:t xml:space="preserve">Calculate Emissions:</w:t>
      </w:r>
      <w:r>
        <w:t xml:space="preserve"> </w:t>
      </w:r>
      <w:r>
        <w:t xml:space="preserve">Quantifying GHG emissions by multiplying activity data with appropriate emission factors.</w:t>
      </w:r>
    </w:p>
    <w:p>
      <w:pPr>
        <w:numPr>
          <w:ilvl w:val="0"/>
          <w:numId w:val="1002"/>
        </w:numPr>
        <w:pStyle w:val="Compact"/>
      </w:pPr>
      <w:r>
        <w:rPr>
          <w:bCs/>
          <w:b/>
        </w:rPr>
        <w:t xml:space="preserve">Review &amp; Report:</w:t>
      </w:r>
      <w:r>
        <w:t xml:space="preserve"> </w:t>
      </w:r>
      <w:r>
        <w:t xml:space="preserve">Analyzing results, identifying hotspots, assessing data reliability, and presenting findings.</w:t>
      </w:r>
    </w:p>
    <w:bookmarkStart w:id="24" w:name="adherence-to-ghg-protocol"/>
    <w:p>
      <w:pPr>
        <w:pStyle w:val="Heading3"/>
      </w:pPr>
      <w:r>
        <w:t xml:space="preserve">2.1. Adherence to GHG Protocol</w:t>
      </w:r>
    </w:p>
    <w:p>
      <w:pPr>
        <w:pStyle w:val="FirstParagraph"/>
      </w:pPr>
      <w:r>
        <w:t xml:space="preserve">Emissions are categorized into three scopes as per GHG Protocol standards:</w:t>
      </w:r>
    </w:p>
    <w:p>
      <w:pPr>
        <w:numPr>
          <w:ilvl w:val="0"/>
          <w:numId w:val="1003"/>
        </w:numPr>
        <w:pStyle w:val="Compact"/>
      </w:pPr>
      <w:r>
        <w:rPr>
          <w:bCs/>
          <w:b/>
        </w:rPr>
        <w:t xml:space="preserve">Scope 1:</w:t>
      </w:r>
      <w:r>
        <w:t xml:space="preserve"> </w:t>
      </w:r>
      <w:r>
        <w:t xml:space="preserve">Direct GHG emissions from sources owned or controlled by the company (e.g., direct manufacturing processes).</w:t>
      </w:r>
    </w:p>
    <w:p>
      <w:pPr>
        <w:numPr>
          <w:ilvl w:val="0"/>
          <w:numId w:val="1003"/>
        </w:numPr>
        <w:pStyle w:val="Compact"/>
      </w:pPr>
      <w:r>
        <w:rPr>
          <w:bCs/>
          <w:b/>
        </w:rPr>
        <w:t xml:space="preserve">Scope 2:</w:t>
      </w:r>
      <w:r>
        <w:t xml:space="preserve"> </w:t>
      </w:r>
      <w:r>
        <w:t xml:space="preserve">Indirect GHG emissions from the generation of purchased energy (e.g., electricity consumed in manufacturing).</w:t>
      </w:r>
    </w:p>
    <w:p>
      <w:pPr>
        <w:numPr>
          <w:ilvl w:val="0"/>
          <w:numId w:val="1003"/>
        </w:numPr>
        <w:pStyle w:val="Compact"/>
      </w:pPr>
      <w:r>
        <w:rPr>
          <w:bCs/>
          <w:b/>
        </w:rPr>
        <w:t xml:space="preserve">Scope 3:</w:t>
      </w:r>
      <w:r>
        <w:t xml:space="preserve"> </w:t>
      </w:r>
      <w:r>
        <w:t xml:space="preserve">All other indirect emissions occurring in the value chain of the company, both upstream and downstream (e.g., material production, transport, use phase, end-of-life).</w:t>
      </w:r>
    </w:p>
    <w:bookmarkEnd w:id="24"/>
    <w:bookmarkStart w:id="25" w:name="X504f4a86e01fdcfa46a4589bb1b5e0cfaad8629"/>
    <w:p>
      <w:pPr>
        <w:pStyle w:val="Heading3"/>
      </w:pPr>
      <w:r>
        <w:t xml:space="preserve">2.2. 2026 Land Sector and Removals (LSR) Standard Update</w:t>
      </w:r>
    </w:p>
    <w:p>
      <w:pPr>
        <w:pStyle w:val="FirstParagraph"/>
      </w:pPr>
      <w:r>
        <w:t xml:space="preserve">The analysis acknowledges the 2026 LSR Standard, which takes effect on January 1, 2027, providing guidance for quantifying, reporting, and tracking land emissions, CO2 removals, and other metrics. While the primary focus of tnlpkgthzq does not involve direct land management or significant land-use change activities, the implications of material sourcing on land are integrated into the material emission factors. The LSR Standard is designed to be used alongside the existing GHG Protocol Corporate Value Chain (Scope 3) Accounting and Reporting Standard.</w:t>
      </w:r>
    </w:p>
    <w:bookmarkEnd w:id="25"/>
    <w:bookmarkStart w:id="26" w:name="scope-3-compliance"/>
    <w:p>
      <w:pPr>
        <w:pStyle w:val="Heading3"/>
      </w:pPr>
      <w:r>
        <w:t xml:space="preserve">2.3. Scope 3 Compliance</w:t>
      </w:r>
    </w:p>
    <w:p>
      <w:pPr>
        <w:pStyle w:val="FirstParagraph"/>
      </w:pPr>
      <w:r>
        <w:t xml:space="preserve">In line with 2026 requirements, this assessment aims for at least 95% coverage for Scope 3 emissions reporting, ensuring a holistic view of the product\'s value chain impact.</w:t>
      </w:r>
    </w:p>
    <w:p>
      <w:r>
        <w:pict>
          <v:rect style="width:0;height:1.5pt" o:hralign="center" o:hrstd="t" o:hr="t"/>
        </w:pict>
      </w:r>
    </w:p>
    <w:bookmarkEnd w:id="26"/>
    <w:bookmarkEnd w:id="27"/>
    <w:bookmarkStart w:id="28" w:name="scope-definition"/>
    <w:p>
      <w:pPr>
        <w:pStyle w:val="Heading2"/>
      </w:pPr>
      <w:r>
        <w:t xml:space="preserve">3. Scope Definition</w:t>
      </w:r>
    </w:p>
    <w:p>
      <w:pPr>
        <w:pStyle w:val="FirstParagraph"/>
      </w:pPr>
      <w:r>
        <w:t xml:space="preserve">The defined parameters for this PCF analysis are as follows:</w:t>
      </w:r>
    </w:p>
    <w:p>
      <w:pPr>
        <w:numPr>
          <w:ilvl w:val="0"/>
          <w:numId w:val="1004"/>
        </w:numPr>
        <w:pStyle w:val="Compact"/>
      </w:pPr>
      <w:r>
        <w:rPr>
          <w:bCs/>
          <w:b/>
        </w:rPr>
        <w:t xml:space="preserve">Functional Unit:</w:t>
      </w:r>
      <w:r>
        <w:t xml:space="preserve"> </w:t>
      </w:r>
      <w:r>
        <w:t xml:space="preserve">1.0 unit of tnlpkgthzq</w:t>
      </w:r>
    </w:p>
    <w:p>
      <w:pPr>
        <w:numPr>
          <w:ilvl w:val="0"/>
          <w:numId w:val="1004"/>
        </w:numPr>
        <w:pStyle w:val="Compact"/>
      </w:pPr>
      <w:r>
        <w:rPr>
          <w:bCs/>
          <w:b/>
        </w:rPr>
        <w:t xml:space="preserve">System Boundary:</w:t>
      </w:r>
      <w:r>
        <w:t xml:space="preserve"> </w:t>
      </w:r>
      <w:r>
        <w:t xml:space="preserve">Cradle-to-grave, specifically defined as \'factory_gate\' for production, encompassing material acquisition, manufacturing, transport, use, and end-of-life phases.</w:t>
      </w:r>
    </w:p>
    <w:p>
      <w:pPr>
        <w:numPr>
          <w:ilvl w:val="0"/>
          <w:numId w:val="1004"/>
        </w:numPr>
        <w:pStyle w:val="Compact"/>
      </w:pPr>
      <w:r>
        <w:rPr>
          <w:bCs/>
          <w:b/>
        </w:rPr>
        <w:t xml:space="preserve">Geographic Scope:</w:t>
      </w:r>
      <w:r>
        <w:t xml:space="preserve"> </w:t>
      </w:r>
      <w:r>
        <w:t xml:space="preserve">Final Production Country: China, Supply Chain Focus: Europe Focused (for downstream distribution and use phase).</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rPr>
          <w:bCs/>
          <w:b/>
        </w:rPr>
        <w:t xml:space="preserve">Allocation:</w:t>
      </w:r>
      <w:r>
        <w:t xml:space="preserve"> </w:t>
      </w:r>
      <w:r>
        <w:t xml:space="preserve">Mass-based allocation is applied where appropriate for multi-functional processes, with specific emission factors used for direct processes.</w:t>
      </w:r>
    </w:p>
    <w:p>
      <w:r>
        <w:pict>
          <v:rect style="width:0;height:1.5pt" o:hralign="center" o:hrstd="t" o:hr="t"/>
        </w:pict>
      </w:r>
    </w:p>
    <w:bookmarkEnd w:id="28"/>
    <w:bookmarkStart w:id="34" w:name="lifecycle-inventory-lci-data-collection"/>
    <w:p>
      <w:pPr>
        <w:pStyle w:val="Heading2"/>
      </w:pPr>
      <w:r>
        <w:t xml:space="preserve">4. Lifecycle Inventory (LCI) &amp; Data Collection</w:t>
      </w:r>
    </w:p>
    <w:p>
      <w:pPr>
        <w:pStyle w:val="FirstParagraph"/>
      </w:pPr>
      <w:r>
        <w:t xml:space="preserve">This section details the primary and secondary data collected and utilized for the PCF calculation across various lifecycle stages.</w:t>
      </w:r>
    </w:p>
    <w:bookmarkStart w:id="29" w:name="detailed-bill-of-materials-bom"/>
    <w:p>
      <w:pPr>
        <w:pStyle w:val="Heading3"/>
      </w:pPr>
      <w:r>
        <w:t xml:space="preserve">4.1. Detailed Bill of Materials (BOM)</w:t>
      </w:r>
    </w:p>
    <w:p>
      <w:pPr>
        <w:pStyle w:val="FirstParagraph"/>
      </w:pPr>
      <w:r>
        <w:t xml:space="preserve">The following Bill of Materials (BOM) for kpixvklm was used to calculate the material acquisition and pre-processing impacts. The emission factors are based on industry averages (e.g., Ecoinvent/DEFRA equivalents) for the respective material categories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S001</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gridSpan w:val="4"/>
          </w:tcPr>
          <w:p>
            <w:pPr>
              <w:pStyle w:val="Compact"/>
              <w:jc w:val="left"/>
            </w:pPr>
            <w:r>
              <w:t xml:space="preserve">Total Product Mass</w:t>
            </w:r>
          </w:p>
        </w:tc>
        <w:tc>
          <w:tcPr/>
          <w:p>
            <w:pPr>
              <w:pStyle w:val="Compact"/>
              <w:jc w:val="left"/>
            </w:pPr>
            <w:r>
              <w:t xml:space="preserve">0.86</w:t>
            </w:r>
          </w:p>
        </w:tc>
        <w:tc>
          <w:tcPr/>
          <w:p>
            <w:pPr>
              <w:pStyle w:val="Compact"/>
              <w:jc w:val="left"/>
            </w:pPr>
            <w:r>
              <w:t xml:space="preserve">kg</w:t>
            </w:r>
          </w:p>
        </w:tc>
        <w:tc>
          <w:tcPr/>
          <w:p>
            <w:pPr>
              <w:pStyle w:val="Compact"/>
            </w:pPr>
          </w:p>
        </w:tc>
        <w:tc>
          <w:tcPr/>
          <w:p>
            <w:pPr>
              <w:pStyle w:val="Compact"/>
            </w:pPr>
          </w:p>
        </w:tc>
      </w:tr>
      <w:tr>
        <w:tc>
          <w:tcPr>
            <w:gridSpan w:val="7"/>
          </w:tcPr>
          <w:p>
            <w:pPr>
              <w:pStyle w:val="Compact"/>
              <w:jc w:val="left"/>
            </w:pPr>
            <w:r>
              <w:t xml:space="preserve">Total Material Carbon (Upstream, Scope 3)</w:t>
            </w:r>
          </w:p>
        </w:tc>
        <w:tc>
          <w:tcPr/>
          <w:p>
            <w:pPr>
              <w:pStyle w:val="Compact"/>
              <w:jc w:val="left"/>
            </w:pPr>
            <w:r>
              <w:t xml:space="preserve">6.70</w:t>
            </w:r>
          </w:p>
        </w:tc>
      </w:tr>
    </w:tbl>
    <w:bookmarkEnd w:id="29"/>
    <w:bookmarkStart w:id="30" w:name="energy-inputs-manufacturing-phase"/>
    <w:p>
      <w:pPr>
        <w:pStyle w:val="Heading3"/>
      </w:pPr>
      <w:r>
        <w:t xml:space="preserve">4.2. Energy Inputs (Manufacturing Phase)</w:t>
      </w:r>
    </w:p>
    <w:p>
      <w:pPr>
        <w:numPr>
          <w:ilvl w:val="0"/>
          <w:numId w:val="1005"/>
        </w:numPr>
        <w:pStyle w:val="Compact"/>
      </w:pPr>
      <w:r>
        <w:rPr>
          <w:bCs/>
          <w:b/>
        </w:rPr>
        <w:t xml:space="preserve">Energy Intensity (kWh/unit):</w:t>
      </w:r>
      <w:r>
        <w:t xml:space="preserve"> </w:t>
      </w:r>
      <w:r>
        <w:t xml:space="preserve">10 kWh/unit [eeqwnmuwfr]</w:t>
      </w:r>
    </w:p>
    <w:p>
      <w:pPr>
        <w:numPr>
          <w:ilvl w:val="0"/>
          <w:numId w:val="1005"/>
        </w:numPr>
        <w:pStyle w:val="Compact"/>
      </w:pPr>
      <w:r>
        <w:rPr>
          <w:bCs/>
          <w:b/>
        </w:rPr>
        <w:t xml:space="preserve">Renewable Energy Usage:</w:t>
      </w:r>
      <w:r>
        <w:t xml:space="preserve"> </w:t>
      </w:r>
      <w:r>
        <w:t xml:space="preserve">50% [jvietsnjwy]</w:t>
      </w:r>
    </w:p>
    <w:p>
      <w:pPr>
        <w:numPr>
          <w:ilvl w:val="0"/>
          <w:numId w:val="1005"/>
        </w:numPr>
        <w:pStyle w:val="Compact"/>
      </w:pPr>
      <w:r>
        <w:rPr>
          <w:bCs/>
          <w:b/>
        </w:rPr>
        <w:t xml:space="preserve">Non-Renewable Energy:</w:t>
      </w:r>
      <w:r>
        <w:t xml:space="preserve"> </w:t>
      </w:r>
      <w:r>
        <w:t xml:space="preserve">5 kWh/unit (10 kWh * 50%)</w:t>
      </w:r>
    </w:p>
    <w:p>
      <w:pPr>
        <w:numPr>
          <w:ilvl w:val="0"/>
          <w:numId w:val="1005"/>
        </w:numPr>
        <w:pStyle w:val="Compact"/>
      </w:pPr>
      <w:r>
        <w:rPr>
          <w:bCs/>
          <w:b/>
        </w:rPr>
        <w:t xml:space="preserve">Electricity Grid Emission Factor (China, 2023):</w:t>
      </w:r>
      <w:r>
        <w:t xml:space="preserve"> </w:t>
      </w:r>
      <w:r>
        <w:t xml:space="preserve">0.6205 kgCO2e/kWh</w:t>
      </w:r>
    </w:p>
    <w:bookmarkEnd w:id="30"/>
    <w:bookmarkStart w:id="31" w:name="logistics-data-transport-phase"/>
    <w:p>
      <w:pPr>
        <w:pStyle w:val="Heading3"/>
      </w:pPr>
      <w:r>
        <w:t xml:space="preserve">4.3. Logistics Data (Transport Phase)</w:t>
      </w:r>
    </w:p>
    <w:p>
      <w:pPr>
        <w:numPr>
          <w:ilvl w:val="0"/>
          <w:numId w:val="1006"/>
        </w:numPr>
        <w:pStyle w:val="Compact"/>
      </w:pPr>
      <w:r>
        <w:rPr>
          <w:bCs/>
          <w:b/>
        </w:rPr>
        <w:t xml:space="preserve">Product Mass (calculated from BOM):</w:t>
      </w:r>
      <w:r>
        <w:t xml:space="preserve"> </w:t>
      </w:r>
      <w:r>
        <w:t xml:space="preserve">0.86 kg</w:t>
      </w:r>
    </w:p>
    <w:p>
      <w:pPr>
        <w:numPr>
          <w:ilvl w:val="0"/>
          <w:numId w:val="1006"/>
        </w:numPr>
        <w:pStyle w:val="Compact"/>
      </w:pPr>
      <w:r>
        <w:rPr>
          <w:bCs/>
          <w:b/>
        </w:rPr>
        <w:t xml:space="preserve">Main Transport Mode (from China to Europe):</w:t>
      </w:r>
      <w:r>
        <w:t xml:space="preserve"> </w:t>
      </w:r>
      <w:r>
        <w:t xml:space="preserve">Road (Heavy Goods Vehicle, long-haul) [Select Mode]</w:t>
      </w:r>
    </w:p>
    <w:p>
      <w:pPr>
        <w:numPr>
          <w:ilvl w:val="0"/>
          <w:numId w:val="1006"/>
        </w:numPr>
        <w:pStyle w:val="Compact"/>
      </w:pPr>
      <w:r>
        <w:rPr>
          <w:bCs/>
          <w:b/>
        </w:rPr>
        <w:t xml:space="preserve">Main Transport Distance:</w:t>
      </w:r>
      <w:r>
        <w:t xml:space="preserve"> </w:t>
      </w:r>
      <w:r>
        <w:t xml:space="preserve">1500 km [ggtiukshdk]</w:t>
      </w:r>
    </w:p>
    <w:p>
      <w:pPr>
        <w:numPr>
          <w:ilvl w:val="0"/>
          <w:numId w:val="1006"/>
        </w:numPr>
        <w:pStyle w:val="Compact"/>
      </w:pPr>
      <w:r>
        <w:rPr>
          <w:bCs/>
          <w:b/>
        </w:rPr>
        <w:t xml:space="preserve">Last-Mile Delivery Channel (within Europe):</w:t>
      </w:r>
      <w:r>
        <w:t xml:space="preserve"> </w:t>
      </w:r>
      <w:r>
        <w:t xml:space="preserve">Commercial Parcel Service (Van) [Delivery Type]</w:t>
      </w:r>
    </w:p>
    <w:p>
      <w:pPr>
        <w:numPr>
          <w:ilvl w:val="0"/>
          <w:numId w:val="1006"/>
        </w:numPr>
        <w:pStyle w:val="Compact"/>
      </w:pPr>
      <w:r>
        <w:rPr>
          <w:bCs/>
          <w:b/>
        </w:rPr>
        <w:t xml:space="preserve">Assumed Last-Mile Distance:</w:t>
      </w:r>
      <w:r>
        <w:t xml:space="preserve"> </w:t>
      </w:r>
      <w:r>
        <w:t xml:space="preserve">100 km</w:t>
      </w:r>
    </w:p>
    <w:p>
      <w:pPr>
        <w:numPr>
          <w:ilvl w:val="0"/>
          <w:numId w:val="1006"/>
        </w:numPr>
        <w:pStyle w:val="Compact"/>
      </w:pPr>
      <w:r>
        <w:rPr>
          <w:bCs/>
          <w:b/>
        </w:rPr>
        <w:t xml:space="preserve">Heavy Goods Vehicle Emission Factor (&gt;16t, EU average):</w:t>
      </w:r>
      <w:r>
        <w:t xml:space="preserve"> </w:t>
      </w:r>
      <w:r>
        <w:t xml:space="preserve">0.0565 kgCO2e/tkm (or 0.0000565 kgCO2e/kg.km)</w:t>
      </w:r>
    </w:p>
    <w:p>
      <w:pPr>
        <w:numPr>
          <w:ilvl w:val="0"/>
          <w:numId w:val="1006"/>
        </w:numPr>
        <w:pStyle w:val="Compact"/>
      </w:pPr>
      <w:r>
        <w:rPr>
          <w:bCs/>
          <w:b/>
        </w:rPr>
        <w:t xml:space="preserve">Commercial Parcel Service Last-Mile Emission Factor (EU average):</w:t>
      </w:r>
      <w:r>
        <w:t xml:space="preserve"> </w:t>
      </w:r>
      <w:r>
        <w:t xml:space="preserve">0.1 kgCO2e per parcel</w:t>
      </w:r>
    </w:p>
    <w:bookmarkEnd w:id="31"/>
    <w:bookmarkStart w:id="32" w:name="use-phase-data"/>
    <w:p>
      <w:pPr>
        <w:pStyle w:val="Heading3"/>
      </w:pPr>
      <w:r>
        <w:t xml:space="preserve">4.4. Use Phase Data</w:t>
      </w:r>
    </w:p>
    <w:p>
      <w:pPr>
        <w:numPr>
          <w:ilvl w:val="0"/>
          <w:numId w:val="1007"/>
        </w:numPr>
        <w:pStyle w:val="Compact"/>
      </w:pPr>
      <w:r>
        <w:rPr>
          <w:bCs/>
          <w:b/>
        </w:rPr>
        <w:t xml:space="preserve">Product Lifespan:</w:t>
      </w:r>
      <w:r>
        <w:t xml:space="preserve"> </w:t>
      </w:r>
      <w:r>
        <w:t xml:space="preserve">5 years [kgsylwygsv]</w:t>
      </w:r>
    </w:p>
    <w:p>
      <w:pPr>
        <w:numPr>
          <w:ilvl w:val="0"/>
          <w:numId w:val="1007"/>
        </w:numPr>
        <w:pStyle w:val="Compact"/>
      </w:pPr>
      <w:r>
        <w:rPr>
          <w:bCs/>
          <w:b/>
        </w:rPr>
        <w:t xml:space="preserve">Energy Consumption in Use:</w:t>
      </w:r>
      <w:r>
        <w:t xml:space="preserve"> </w:t>
      </w:r>
      <w:r>
        <w:t xml:space="preserve">10 kWh/year [lpmhesvpus]</w:t>
      </w:r>
    </w:p>
    <w:p>
      <w:pPr>
        <w:numPr>
          <w:ilvl w:val="0"/>
          <w:numId w:val="1007"/>
        </w:numPr>
        <w:pStyle w:val="Compact"/>
      </w:pPr>
      <w:r>
        <w:rPr>
          <w:bCs/>
          <w:b/>
        </w:rPr>
        <w:t xml:space="preserve">Total Energy Consumption in Use:</w:t>
      </w:r>
      <w:r>
        <w:t xml:space="preserve"> </w:t>
      </w:r>
      <w:r>
        <w:t xml:space="preserve">50 kWh (10 kWh/year * 5 years)</w:t>
      </w:r>
    </w:p>
    <w:p>
      <w:pPr>
        <w:numPr>
          <w:ilvl w:val="0"/>
          <w:numId w:val="1007"/>
        </w:numPr>
        <w:pStyle w:val="Compact"/>
      </w:pPr>
      <w:r>
        <w:rPr>
          <w:bCs/>
          <w:b/>
        </w:rPr>
        <w:t xml:space="preserve">Assumed Average European Electricity Grid Emission Factor:</w:t>
      </w:r>
      <w:r>
        <w:t xml:space="preserve"> </w:t>
      </w:r>
      <w:r>
        <w:t xml:space="preserve">0.25 kgCO2e/kWh</w:t>
      </w:r>
    </w:p>
    <w:bookmarkEnd w:id="32"/>
    <w:bookmarkStart w:id="33" w:name="end-of-life-eol-scenarios"/>
    <w:p>
      <w:pPr>
        <w:pStyle w:val="Heading3"/>
      </w:pPr>
      <w:r>
        <w:t xml:space="preserve">4.5. End-of-Life (EoL) Scenarios</w:t>
      </w:r>
    </w:p>
    <w:p>
      <w:pPr>
        <w:numPr>
          <w:ilvl w:val="0"/>
          <w:numId w:val="1008"/>
        </w:numPr>
        <w:pStyle w:val="Compact"/>
      </w:pPr>
      <w:r>
        <w:rPr>
          <w:bCs/>
          <w:b/>
        </w:rPr>
        <w:t xml:space="preserve">Recyclability Percentage:</w:t>
      </w:r>
      <w:r>
        <w:t xml:space="preserve"> </w:t>
      </w:r>
      <w:r>
        <w:t xml:space="preserve">70% [iqlmxzzsfj]</w:t>
      </w:r>
    </w:p>
    <w:p>
      <w:pPr>
        <w:numPr>
          <w:ilvl w:val="0"/>
          <w:numId w:val="1008"/>
        </w:numPr>
        <w:pStyle w:val="Compact"/>
      </w:pPr>
      <w:r>
        <w:rPr>
          <w:bCs/>
          <w:b/>
        </w:rPr>
        <w:t xml:space="preserve">Circular/Take-back Programs:</w:t>
      </w:r>
      <w:r>
        <w:t xml:space="preserve"> </w:t>
      </w:r>
      <w:r>
        <w:t xml:space="preserve">Yes, established take-back programs [nghxikwgys]</w:t>
      </w:r>
    </w:p>
    <w:p>
      <w:pPr>
        <w:numPr>
          <w:ilvl w:val="0"/>
          <w:numId w:val="1008"/>
        </w:numPr>
        <w:pStyle w:val="Compact"/>
      </w:pPr>
      <w:r>
        <w:rPr>
          <w:bCs/>
          <w:b/>
        </w:rPr>
        <w:t xml:space="preserve">Assumed EoL Disposal Emission Factor (Landfill/Incineration for non-recycled part):</w:t>
      </w:r>
      <w:r>
        <w:t xml:space="preserve"> </w:t>
      </w:r>
      <w:r>
        <w:t xml:space="preserve">1.0 kgCO2e/kg (simplified estimate)</w:t>
      </w:r>
    </w:p>
    <w:p>
      <w:r>
        <w:pict>
          <v:rect style="width:0;height:1.5pt" o:hralign="center" o:hrstd="t" o:hr="t"/>
        </w:pict>
      </w:r>
    </w:p>
    <w:bookmarkEnd w:id="33"/>
    <w:bookmarkEnd w:id="34"/>
    <w:bookmarkStart w:id="41" w:name="emissions-calculation"/>
    <w:p>
      <w:pPr>
        <w:pStyle w:val="Heading2"/>
      </w:pPr>
      <w:r>
        <w:t xml:space="preserve">5. Emissions Calculation</w:t>
      </w:r>
    </w:p>
    <w:p>
      <w:pPr>
        <w:pStyle w:val="FirstParagraph"/>
      </w:pPr>
      <w:r>
        <w:t xml:space="preserve">This section details the calculation of GHG emissions for each lifecycle stage, categorized by GHG Protocol scopes.</w:t>
      </w:r>
    </w:p>
    <w:bookmarkStart w:id="35" w:name="Xa2a3753ab548f3a1916dee685643a376ce93e2e"/>
    <w:p>
      <w:pPr>
        <w:pStyle w:val="Heading3"/>
      </w:pPr>
      <w:r>
        <w:t xml:space="preserve">5.1. Scope 3: Upstream Emissions (Material Acquisition &amp; Manufacturing)</w:t>
      </w:r>
    </w:p>
    <w:p>
      <w:pPr>
        <w:pStyle w:val="FirstParagraph"/>
      </w:pPr>
      <w:r>
        <w:t xml:space="preserve">The emissions from the extraction, processing, and manufacturing of raw materials are derived directly from the provided Detailed Bill of Materials (BOM).</w:t>
      </w:r>
    </w:p>
    <w:p>
      <w:pPr>
        <w:numPr>
          <w:ilvl w:val="0"/>
          <w:numId w:val="1009"/>
        </w:numPr>
        <w:pStyle w:val="Compact"/>
      </w:pPr>
      <w:r>
        <w:rPr>
          <w:bCs/>
          <w:b/>
        </w:rPr>
        <w:t xml:space="preserve">Material Acquisition Emissions:</w:t>
      </w:r>
      <w:r>
        <w:t xml:space="preserve"> </w:t>
      </w:r>
      <w:r>
        <w:t xml:space="preserve">6.70 kgCO2e</w:t>
      </w:r>
    </w:p>
    <w:bookmarkEnd w:id="35"/>
    <w:bookmarkStart w:id="36" w:name="X8c1054cbb6c281bc4a5d96270e14b3e22b136c8"/>
    <w:p>
      <w:pPr>
        <w:pStyle w:val="Heading3"/>
      </w:pPr>
      <w:r>
        <w:t xml:space="preserve">5.2. Scope 2: Purchased Energy Emissions (Manufacturing Phase)</w:t>
      </w:r>
    </w:p>
    <w:p>
      <w:pPr>
        <w:pStyle w:val="FirstParagraph"/>
      </w:pPr>
      <w:r>
        <w:t xml:space="preserve">Emissions from purchased electricity for the manufacturing processes in China are calculated considering the energy intensity and renewable energy usage.</w:t>
      </w:r>
    </w:p>
    <w:p>
      <w:pPr>
        <w:numPr>
          <w:ilvl w:val="0"/>
          <w:numId w:val="1010"/>
        </w:numPr>
        <w:pStyle w:val="Compact"/>
      </w:pPr>
      <w:r>
        <w:rPr>
          <w:bCs/>
          <w:b/>
        </w:rPr>
        <w:t xml:space="preserve">Total Energy Consumption:</w:t>
      </w:r>
      <w:r>
        <w:t xml:space="preserve"> </w:t>
      </w:r>
      <w:r>
        <w:t xml:space="preserve">10 kWh/unit</w:t>
      </w:r>
    </w:p>
    <w:p>
      <w:pPr>
        <w:numPr>
          <w:ilvl w:val="0"/>
          <w:numId w:val="1010"/>
        </w:numPr>
        <w:pStyle w:val="Compact"/>
      </w:pPr>
      <w:r>
        <w:rPr>
          <w:bCs/>
          <w:b/>
        </w:rPr>
        <w:t xml:space="preserve">Renewable Energy Share:</w:t>
      </w:r>
      <w:r>
        <w:t xml:space="preserve"> </w:t>
      </w:r>
      <w:r>
        <w:t xml:space="preserve">50% (assumed 0 kgCO2e emissions for certified renewable energy)</w:t>
      </w:r>
    </w:p>
    <w:p>
      <w:pPr>
        <w:numPr>
          <w:ilvl w:val="0"/>
          <w:numId w:val="1010"/>
        </w:numPr>
        <w:pStyle w:val="Compact"/>
      </w:pPr>
      <w:r>
        <w:rPr>
          <w:bCs/>
          <w:b/>
        </w:rPr>
        <w:t xml:space="preserve">Non-Renewable Energy Consumption:</w:t>
      </w:r>
      <w:r>
        <w:t xml:space="preserve"> </w:t>
      </w:r>
      <w:r>
        <w:t xml:space="preserve">5 kWh/unit</w:t>
      </w:r>
    </w:p>
    <w:p>
      <w:pPr>
        <w:numPr>
          <w:ilvl w:val="0"/>
          <w:numId w:val="1010"/>
        </w:numPr>
        <w:pStyle w:val="Compact"/>
      </w:pPr>
      <w:r>
        <w:rPr>
          <w:bCs/>
          <w:b/>
        </w:rPr>
        <w:t xml:space="preserve">Emissions Calculation:</w:t>
      </w:r>
      <w:r>
        <w:t xml:space="preserve"> </w:t>
      </w:r>
      <w:r>
        <w:t xml:space="preserve">5 kWh/unit * 0.6205 kgCO2e/kWh (China grid factor) = 3.10 kgCO2e</w:t>
      </w:r>
    </w:p>
    <w:bookmarkEnd w:id="36"/>
    <w:bookmarkStart w:id="37" w:name="Xf8541ccbd593cef50c77469567337ec6037deda"/>
    <w:p>
      <w:pPr>
        <w:pStyle w:val="Heading3"/>
      </w:pPr>
      <w:r>
        <w:t xml:space="preserve">5.3. Scope 3: Upstream &amp; Downstream Emissions (Transport Phase)</w:t>
      </w:r>
    </w:p>
    <w:p>
      <w:pPr>
        <w:pStyle w:val="FirstParagraph"/>
      </w:pPr>
      <w:r>
        <w:t xml:space="preserve">Emissions from the transportation of the product from the manufacturing facility in China to the consumer in Europe, including last-mile delivery.</w:t>
      </w:r>
    </w:p>
    <w:p>
      <w:pPr>
        <w:numPr>
          <w:ilvl w:val="0"/>
          <w:numId w:val="1011"/>
        </w:numPr>
        <w:pStyle w:val="Compact"/>
      </w:pPr>
      <w:r>
        <w:rPr>
          <w:bCs/>
          <w:b/>
        </w:rPr>
        <w:t xml:space="preserve">Product Mass:</w:t>
      </w:r>
      <w:r>
        <w:t xml:space="preserve"> </w:t>
      </w:r>
      <w:r>
        <w:t xml:space="preserve">0.86 kg</w:t>
      </w:r>
    </w:p>
    <w:p>
      <w:pPr>
        <w:numPr>
          <w:ilvl w:val="0"/>
          <w:numId w:val="1011"/>
        </w:numPr>
        <w:pStyle w:val="Compact"/>
      </w:pPr>
      <w:r>
        <w:rPr>
          <w:bCs/>
          <w:b/>
        </w:rPr>
        <w:t xml:space="preserve">Long-haul Transport (Road - HGV):</w:t>
      </w:r>
    </w:p>
    <w:p>
      <w:pPr>
        <w:numPr>
          <w:ilvl w:val="1"/>
          <w:numId w:val="1012"/>
        </w:numPr>
        <w:pStyle w:val="Compact"/>
      </w:pPr>
      <w:r>
        <w:t xml:space="preserve">Distance: 1500 km</w:t>
      </w:r>
    </w:p>
    <w:p>
      <w:pPr>
        <w:numPr>
          <w:ilvl w:val="1"/>
          <w:numId w:val="1012"/>
        </w:numPr>
        <w:pStyle w:val="Compact"/>
      </w:pPr>
      <w:r>
        <w:t xml:space="preserve">Emission Factor: 0.0000565 kgCO2e/kg.km</w:t>
      </w:r>
    </w:p>
    <w:p>
      <w:pPr>
        <w:numPr>
          <w:ilvl w:val="1"/>
          <w:numId w:val="1012"/>
        </w:numPr>
        <w:pStyle w:val="Compact"/>
      </w:pPr>
      <w:r>
        <w:t xml:space="preserve">Emissions: 0.86 kg * 1500 km * 0.0000565 kgCO2e/kg.km = 0.07 kgCO2e</w:t>
      </w:r>
    </w:p>
    <w:p>
      <w:pPr>
        <w:numPr>
          <w:ilvl w:val="0"/>
          <w:numId w:val="1011"/>
        </w:numPr>
        <w:pStyle w:val="Compact"/>
      </w:pPr>
      <w:r>
        <w:rPr>
          <w:bCs/>
          <w:b/>
        </w:rPr>
        <w:t xml:space="preserve">Last-Mile Delivery (Commercial Parcel Service):</w:t>
      </w:r>
    </w:p>
    <w:p>
      <w:pPr>
        <w:numPr>
          <w:ilvl w:val="1"/>
          <w:numId w:val="1013"/>
        </w:numPr>
        <w:pStyle w:val="Compact"/>
      </w:pPr>
      <w:r>
        <w:t xml:space="preserve">Average per-parcel emission: 0.1 kgCO2e/parcel</w:t>
      </w:r>
    </w:p>
    <w:p>
      <w:pPr>
        <w:numPr>
          <w:ilvl w:val="1"/>
          <w:numId w:val="1013"/>
        </w:numPr>
        <w:pStyle w:val="Compact"/>
      </w:pPr>
      <w:r>
        <w:t xml:space="preserve">Emissions: 0.10 kgCO2e</w:t>
      </w:r>
    </w:p>
    <w:p>
      <w:pPr>
        <w:numPr>
          <w:ilvl w:val="0"/>
          <w:numId w:val="1011"/>
        </w:numPr>
        <w:pStyle w:val="Compact"/>
      </w:pPr>
      <w:r>
        <w:rPr>
          <w:bCs/>
          <w:b/>
        </w:rPr>
        <w:t xml:space="preserve">Total Transport Emissions:</w:t>
      </w:r>
      <w:r>
        <w:t xml:space="preserve"> </w:t>
      </w:r>
      <w:r>
        <w:t xml:space="preserve">0.07 + 0.10 = 0.17 kgCO2e</w:t>
      </w:r>
    </w:p>
    <w:bookmarkEnd w:id="37"/>
    <w:bookmarkStart w:id="38" w:name="scope-3-downstream-emissions-use-phase"/>
    <w:p>
      <w:pPr>
        <w:pStyle w:val="Heading3"/>
      </w:pPr>
      <w:r>
        <w:t xml:space="preserve">5.4. Scope 3: Downstream Emissions (Use Phase)</w:t>
      </w:r>
    </w:p>
    <w:p>
      <w:pPr>
        <w:pStyle w:val="FirstParagraph"/>
      </w:pPr>
      <w:r>
        <w:t xml:space="preserve">Emissions generated during the product\'s operational lifespan, based on its energy consumption and an average European electricity grid mix.</w:t>
      </w:r>
    </w:p>
    <w:p>
      <w:pPr>
        <w:numPr>
          <w:ilvl w:val="0"/>
          <w:numId w:val="1014"/>
        </w:numPr>
        <w:pStyle w:val="Compact"/>
      </w:pPr>
      <w:r>
        <w:rPr>
          <w:bCs/>
          <w:b/>
        </w:rPr>
        <w:t xml:space="preserve">Total Energy Consumption (over lifespan):</w:t>
      </w:r>
      <w:r>
        <w:t xml:space="preserve"> </w:t>
      </w:r>
      <w:r>
        <w:t xml:space="preserve">50 kWh</w:t>
      </w:r>
    </w:p>
    <w:p>
      <w:pPr>
        <w:numPr>
          <w:ilvl w:val="0"/>
          <w:numId w:val="1014"/>
        </w:numPr>
        <w:pStyle w:val="Compact"/>
      </w:pPr>
      <w:r>
        <w:rPr>
          <w:bCs/>
          <w:b/>
        </w:rPr>
        <w:t xml:space="preserve">Assumed Average European Electricity Grid Emission Factor:</w:t>
      </w:r>
      <w:r>
        <w:t xml:space="preserve"> </w:t>
      </w:r>
      <w:r>
        <w:t xml:space="preserve">0.25 kgCO2e/kWh</w:t>
      </w:r>
    </w:p>
    <w:p>
      <w:pPr>
        <w:numPr>
          <w:ilvl w:val="0"/>
          <w:numId w:val="1014"/>
        </w:numPr>
        <w:pStyle w:val="Compact"/>
      </w:pPr>
      <w:r>
        <w:rPr>
          <w:bCs/>
          <w:b/>
        </w:rPr>
        <w:t xml:space="preserve">Emissions Calculation:</w:t>
      </w:r>
      <w:r>
        <w:t xml:space="preserve"> </w:t>
      </w:r>
      <w:r>
        <w:t xml:space="preserve">50 kWh * 0.25 kgCO2e/kWh = 12.50 kgCO2e</w:t>
      </w:r>
    </w:p>
    <w:bookmarkEnd w:id="38"/>
    <w:bookmarkStart w:id="39" w:name="X22b1dc96eaae7fde8b5295a2020e63bc6e8c006"/>
    <w:p>
      <w:pPr>
        <w:pStyle w:val="Heading3"/>
      </w:pPr>
      <w:r>
        <w:t xml:space="preserve">5.5. Scope 3: Downstream Emissions (End-of-Life Phase)</w:t>
      </w:r>
    </w:p>
    <w:p>
      <w:pPr>
        <w:pStyle w:val="FirstParagraph"/>
      </w:pPr>
      <w:r>
        <w:t xml:space="preserve">Emissions associated with the disposal of the product at the end of its life, considering the recyclability percentage and the existence of circular programs.</w:t>
      </w:r>
    </w:p>
    <w:p>
      <w:pPr>
        <w:numPr>
          <w:ilvl w:val="0"/>
          <w:numId w:val="1015"/>
        </w:numPr>
        <w:pStyle w:val="Compact"/>
      </w:pPr>
      <w:r>
        <w:rPr>
          <w:bCs/>
          <w:b/>
        </w:rPr>
        <w:t xml:space="preserve">Recyclability:</w:t>
      </w:r>
      <w:r>
        <w:t xml:space="preserve"> </w:t>
      </w:r>
      <w:r>
        <w:t xml:space="preserve">70%</w:t>
      </w:r>
    </w:p>
    <w:p>
      <w:pPr>
        <w:numPr>
          <w:ilvl w:val="0"/>
          <w:numId w:val="1015"/>
        </w:numPr>
        <w:pStyle w:val="Compact"/>
      </w:pPr>
      <w:r>
        <w:rPr>
          <w:bCs/>
          <w:b/>
        </w:rPr>
        <w:t xml:space="preserve">Non-Recycled Portion:</w:t>
      </w:r>
      <w:r>
        <w:t xml:space="preserve"> </w:t>
      </w:r>
      <w:r>
        <w:t xml:space="preserve">30% of 0.86 kg = 0.258 kg</w:t>
      </w:r>
    </w:p>
    <w:p>
      <w:pPr>
        <w:numPr>
          <w:ilvl w:val="0"/>
          <w:numId w:val="1015"/>
        </w:numPr>
        <w:pStyle w:val="Compact"/>
      </w:pPr>
      <w:r>
        <w:rPr>
          <w:bCs/>
          <w:b/>
        </w:rPr>
        <w:t xml:space="preserve">Disposal Emissions (for non-recycled part):</w:t>
      </w:r>
      <w:r>
        <w:t xml:space="preserve"> </w:t>
      </w:r>
      <w:r>
        <w:t xml:space="preserve">0.258 kg * 1.0 kgCO2e/kg = 0.26 kgCO2e (Rounded)</w:t>
      </w:r>
    </w:p>
    <w:p>
      <w:pPr>
        <w:numPr>
          <w:ilvl w:val="0"/>
          <w:numId w:val="1015"/>
        </w:numPr>
        <w:pStyle w:val="Compact"/>
      </w:pPr>
      <w:r>
        <w:rPr>
          <w:bCs/>
          <w:b/>
        </w:rPr>
        <w:t xml:space="preserve">Circular Economy Impact:</w:t>
      </w:r>
      <w:r>
        <w:t xml:space="preserve"> </w:t>
      </w:r>
      <w:r>
        <w:t xml:space="preserve">The existence of established take-back programs [nghxikwgys] and a 70% recyclability rate significantly mitigate the overall environmental impact by reducing the need for virgin materials and diverting waste from landfills. While direct credits are not quantitatively applied in this calculation for simplicity, these aspects represent substantial avoided emissions.</w:t>
      </w:r>
    </w:p>
    <w:bookmarkEnd w:id="39"/>
    <w:bookmarkStart w:id="40" w:name="summary-of-product-carbon-footprint"/>
    <w:p>
      <w:pPr>
        <w:pStyle w:val="Heading3"/>
      </w:pPr>
      <w:r>
        <w:t xml:space="preserve">5.6. Summary of Product Carbon Footprint</w:t>
      </w:r>
    </w:p>
    <w:p>
      <w:pPr>
        <w:pStyle w:val="FirstParagraph"/>
      </w:pPr>
      <w:r>
        <w:t xml:space="preserve">The total Product Carbon Footprint for one functional unit of tnlpkgthzq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6.70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3.10</w:t>
            </w:r>
          </w:p>
        </w:tc>
      </w:tr>
      <w:tr>
        <w:tc>
          <w:tcPr/>
          <w:p>
            <w:pPr>
              <w:pStyle w:val="Compact"/>
              <w:jc w:val="left"/>
            </w:pPr>
            <w:r>
              <w:t xml:space="preserve">Transport (Long-haul &amp; Last-Mile)</w:t>
            </w:r>
          </w:p>
        </w:tc>
        <w:tc>
          <w:tcPr/>
          <w:p>
            <w:pPr>
              <w:pStyle w:val="Compact"/>
              <w:jc w:val="left"/>
            </w:pPr>
            <w:r>
              <w:t xml:space="preserve">Scope 3 (Upstream &amp; Downstream)</w:t>
            </w:r>
          </w:p>
        </w:tc>
        <w:tc>
          <w:tcPr/>
          <w:p>
            <w:pPr>
              <w:pStyle w:val="Compact"/>
              <w:jc w:val="left"/>
            </w:pPr>
            <w:r>
              <w:t xml:space="preserve">0.17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0.26</w:t>
            </w:r>
          </w:p>
        </w:tc>
      </w:tr>
      <w:tr>
        <w:tc>
          <w:tcPr>
            <w:gridSpan w:val="2"/>
          </w:tcPr>
          <w:p>
            <w:pPr>
              <w:pStyle w:val="Compact"/>
              <w:jc w:val="left"/>
            </w:pPr>
            <w:r>
              <w:t xml:space="preserve">TOTAL PRODUCT CARBON FOOTPRINT (per 1.0 unit)</w:t>
            </w:r>
          </w:p>
        </w:tc>
        <w:tc>
          <w:tcPr/>
          <w:p>
            <w:pPr>
              <w:pStyle w:val="Compact"/>
              <w:jc w:val="left"/>
            </w:pPr>
            <w:r>
              <w:t xml:space="preserve">22.73</w:t>
            </w:r>
          </w:p>
        </w:tc>
      </w:tr>
    </w:tbl>
    <w:p>
      <w:r>
        <w:pict>
          <v:rect style="width:0;height:1.5pt" o:hralign="center" o:hrstd="t" o:hr="t"/>
        </w:pict>
      </w:r>
    </w:p>
    <w:bookmarkEnd w:id="40"/>
    <w:bookmarkEnd w:id="41"/>
    <w:bookmarkStart w:id="45" w:name="review-report"/>
    <w:p>
      <w:pPr>
        <w:pStyle w:val="Heading2"/>
      </w:pPr>
      <w:r>
        <w:t xml:space="preserve">6. Review &amp; Report</w:t>
      </w:r>
    </w:p>
    <w:bookmarkStart w:id="42" w:name="hotspot-analysis"/>
    <w:p>
      <w:pPr>
        <w:pStyle w:val="Heading3"/>
      </w:pPr>
      <w:r>
        <w:t xml:space="preserve">6.1. Hotspot Analysis</w:t>
      </w:r>
    </w:p>
    <w:p>
      <w:pPr>
        <w:pStyle w:val="FirstParagraph"/>
      </w:pPr>
      <w:r>
        <w:t xml:space="preserve">Based on the calculations, the primary carbon hotspots for tnlpkgthzq are:</w:t>
      </w:r>
    </w:p>
    <w:p>
      <w:pPr>
        <w:numPr>
          <w:ilvl w:val="0"/>
          <w:numId w:val="1016"/>
        </w:numPr>
        <w:pStyle w:val="Compact"/>
      </w:pPr>
      <w:r>
        <w:rPr>
          <w:bCs/>
          <w:b/>
        </w:rPr>
        <w:t xml:space="preserve">Use Phase (55.0%):</w:t>
      </w:r>
      <w:r>
        <w:t xml:space="preserve"> </w:t>
      </w:r>
      <w:r>
        <w:t xml:space="preserve">The most significant contributor to the PCF is the energy consumption during the product\'s lifespan (12.50 kgCO2e), highlighting the importance of energy efficiency for users and cleaner electricity grids.</w:t>
      </w:r>
    </w:p>
    <w:p>
      <w:pPr>
        <w:numPr>
          <w:ilvl w:val="0"/>
          <w:numId w:val="1016"/>
        </w:numPr>
        <w:pStyle w:val="Compact"/>
      </w:pPr>
      <w:r>
        <w:rPr>
          <w:bCs/>
          <w:b/>
        </w:rPr>
        <w:t xml:space="preserve">Material Acquisition (29.5%):</w:t>
      </w:r>
      <w:r>
        <w:t xml:space="preserve"> </w:t>
      </w:r>
      <w:r>
        <w:t xml:space="preserve">The production of raw materials, particularly aluminum and the Lithium-Ion Battery, contributes substantially (6.70 kgCO2e), indicating opportunities for material optimization, selection of lower-impact materials, and increased recycled content.</w:t>
      </w:r>
    </w:p>
    <w:p>
      <w:pPr>
        <w:numPr>
          <w:ilvl w:val="0"/>
          <w:numId w:val="1016"/>
        </w:numPr>
        <w:pStyle w:val="Compact"/>
      </w:pPr>
      <w:r>
        <w:rPr>
          <w:bCs/>
          <w:b/>
        </w:rPr>
        <w:t xml:space="preserve">Manufacturing (13.6%):</w:t>
      </w:r>
      <w:r>
        <w:t xml:space="preserve"> </w:t>
      </w:r>
      <w:r>
        <w:t xml:space="preserve">Purchased electricity for manufacturing accounts for 3.10 kgCO2e, emphasizing the impact of the energy mix in the production country and the benefits of renewable energy sourcing.</w:t>
      </w:r>
    </w:p>
    <w:bookmarkEnd w:id="42"/>
    <w:bookmarkStart w:id="43" w:name="reliability-and-limitations"/>
    <w:p>
      <w:pPr>
        <w:pStyle w:val="Heading3"/>
      </w:pPr>
      <w:r>
        <w:t xml:space="preserve">6.2. Reliability and Limitations</w:t>
      </w:r>
    </w:p>
    <w:p>
      <w:pPr>
        <w:pStyle w:val="FirstParagraph"/>
      </w:pPr>
      <w:r>
        <w:t xml:space="preserve">The reliability of this report is directly dependent on the accuracy and availability of the input data. While specific parameters for BOM, transport distance, energy usage, and end-of-life scenarios were provided, certain emission factors (e.g., for EoL disposal, European grid mix) were based on industry averages and generalized estimates. Primary data collection for all supply chain stages would further enhance accuracy. The LSR Standard, while acknowledged, has limited direct quantifiable impact on this specific product\'s PCF given its nature, but its principles of tracing land-related impacts are considered within broader material factors.</w:t>
      </w:r>
    </w:p>
    <w:bookmarkEnd w:id="43"/>
    <w:bookmarkStart w:id="44" w:name="recommendations"/>
    <w:p>
      <w:pPr>
        <w:pStyle w:val="Heading3"/>
      </w:pPr>
      <w:r>
        <w:t xml:space="preserve">6.3. Recommendations</w:t>
      </w:r>
    </w:p>
    <w:p>
      <w:pPr>
        <w:pStyle w:val="FirstParagraph"/>
      </w:pPr>
      <w:r>
        <w:t xml:space="preserve">To further reduce the Product Carbon Footprint of tnlpkgthzq, dofnxxxoff should consider the following:</w:t>
      </w:r>
    </w:p>
    <w:p>
      <w:pPr>
        <w:numPr>
          <w:ilvl w:val="0"/>
          <w:numId w:val="1017"/>
        </w:numPr>
        <w:pStyle w:val="Compact"/>
      </w:pPr>
      <w:r>
        <w:rPr>
          <w:bCs/>
          <w:b/>
        </w:rPr>
        <w:t xml:space="preserve">Enhance Product Energy Efficiency:</w:t>
      </w:r>
      <w:r>
        <w:t xml:space="preserve"> </w:t>
      </w:r>
      <w:r>
        <w:t xml:space="preserve">Focus on reducing energy consumption during the use phase through design improvements and promoting efficient user behavior.</w:t>
      </w:r>
    </w:p>
    <w:p>
      <w:pPr>
        <w:numPr>
          <w:ilvl w:val="0"/>
          <w:numId w:val="1017"/>
        </w:numPr>
        <w:pStyle w:val="Compact"/>
      </w:pPr>
      <w:r>
        <w:rPr>
          <w:bCs/>
          <w:b/>
        </w:rPr>
        <w:t xml:space="preserve">Optimize Material Sourcing:</w:t>
      </w:r>
      <w:r>
        <w:t xml:space="preserve"> </w:t>
      </w:r>
      <w:r>
        <w:t xml:space="preserve">Explore alternative, lower-carbon materials, increase recycled content, and engage with suppliers to reduce upstream material impacts.</w:t>
      </w:r>
    </w:p>
    <w:p>
      <w:pPr>
        <w:numPr>
          <w:ilvl w:val="0"/>
          <w:numId w:val="1017"/>
        </w:numPr>
        <w:pStyle w:val="Compact"/>
      </w:pPr>
      <w:r>
        <w:rPr>
          <w:bCs/>
          <w:b/>
        </w:rPr>
        <w:t xml:space="preserve">Increase Renewable Energy in Manufacturing:</w:t>
      </w:r>
      <w:r>
        <w:t xml:space="preserve"> </w:t>
      </w:r>
      <w:r>
        <w:t xml:space="preserve">Continue to increase the share of renewable energy at manufacturing facilities in China beyond the current 50% to further decrease Scope 2 emissions.</w:t>
      </w:r>
    </w:p>
    <w:p>
      <w:pPr>
        <w:numPr>
          <w:ilvl w:val="0"/>
          <w:numId w:val="1017"/>
        </w:numPr>
        <w:pStyle w:val="Compact"/>
      </w:pPr>
      <w:r>
        <w:rPr>
          <w:bCs/>
          <w:b/>
        </w:rPr>
        <w:t xml:space="preserve">Lifecycle Extension:</w:t>
      </w:r>
      <w:r>
        <w:t xml:space="preserve"> </w:t>
      </w:r>
      <w:r>
        <w:t xml:space="preserve">Leverage the established take-back programs to facilitate repair, refurbishment, and high-quality recycling, extending the product\'s useful life and maximizing material recovery.</w:t>
      </w:r>
    </w:p>
    <w:p>
      <w:pPr>
        <w:numPr>
          <w:ilvl w:val="0"/>
          <w:numId w:val="1017"/>
        </w:numPr>
        <w:pStyle w:val="Compact"/>
      </w:pPr>
      <w:r>
        <w:rPr>
          <w:bCs/>
          <w:b/>
        </w:rPr>
        <w:t xml:space="preserve">Supply Chain Engagement:</w:t>
      </w:r>
      <w:r>
        <w:t xml:space="preserve"> </w:t>
      </w:r>
      <w:r>
        <w:t xml:space="preserve">Work closely with logistics partners to optimize routes, explore alternative low-carbon transport modes, and improve vehicle efficiency.</w:t>
      </w:r>
    </w:p>
    <w:bookmarkEnd w:id="44"/>
    <w:bookmarkEnd w:id="45"/>
    <w:bookmarkStart w:id="46" w:name="conclusion"/>
    <w:p>
      <w:pPr>
        <w:pStyle w:val="Heading2"/>
      </w:pPr>
      <w:r>
        <w:t xml:space="preserve">Conclusion</w:t>
      </w:r>
    </w:p>
    <w:p>
      <w:pPr>
        <w:pStyle w:val="FirstParagraph"/>
      </w:pPr>
      <w:r>
        <w:t xml:space="preserve">This Product Carbon Footprint analysis provides dofnxxxoff with a comprehensive understanding of the environmental impact of tnlpkgthzq. By identifying key emission hotspots and adhering to robust accounting standards, dofnxxxoff can strategically prioritize efforts to reduce its product\'s carbon footprint, contributing to broader sustainability goals and compliance with evolving environmental regulations like the GHG Protocol and the forthcoming LSR Standard. The total PCF of</w:t>
      </w:r>
      <w:r>
        <w:t xml:space="preserve"> </w:t>
      </w:r>
      <w:r>
        <w:rPr>
          <w:bCs/>
          <w:b/>
        </w:rPr>
        <w:t xml:space="preserve">22.73 kg CO2e</w:t>
      </w:r>
      <w:r>
        <w:t xml:space="preserve"> </w:t>
      </w:r>
      <w:r>
        <w:t xml:space="preserve">per unit serves as a critical baseline for future reduction targets and performance tracking.</w:t>
      </w:r>
    </w:p>
    <w:p>
      <w:r>
        <w:pict>
          <v:rect style="width:0;height:1.5pt" o:hralign="center" o:hrstd="t" o:hr="t"/>
        </w:pict>
      </w:r>
    </w:p>
    <w:p>
      <w:pPr>
        <w:pStyle w:val="FirstParagraph"/>
      </w:pPr>
      <w:r>
        <w:t xml:space="preserve">Confidential - Internal Use Only | Page</w:t>
      </w:r>
      <w:r>
        <w:t xml:space="preserve"> </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tnlpkgthzq</dc:title>
  <dc:creator/>
  <dc:description>High-detail Product Carbon Footprint (PCF) analysis for tnlpkgthzq, prepared by Senior Sustainability Consultant tkgpgghjxo for dofnxxxoff, adhering to GHG Protocol standards and 2026 LSR updates.</dc:description>
  <dc:language>en</dc:language>
  <cp:keywords/>
  <dcterms:created xsi:type="dcterms:W3CDTF">2026-05-30T18:07:23Z</dcterms:created>
  <dcterms:modified xsi:type="dcterms:W3CDTF">2026-05-30T18:07:23Z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