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tmxzyovltm</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tmxzyovltm</w:t>
      </w:r>
    </w:p>
    <w:p>
      <w:pPr>
        <w:pStyle w:val="BodyText"/>
      </w:pPr>
      <w:r>
        <w:rPr>
          <w:bCs/>
          <w:b/>
        </w:rPr>
        <w:t xml:space="preserve">Company Name:</w:t>
      </w:r>
      <w:r>
        <w:t xml:space="preserve"> </w:t>
      </w:r>
      <w:r>
        <w:t xml:space="preserve">qjkoxywimy</w:t>
      </w:r>
    </w:p>
    <w:p>
      <w:pPr>
        <w:pStyle w:val="BodyText"/>
      </w:pPr>
      <w:r>
        <w:rPr>
          <w:bCs/>
          <w:b/>
        </w:rPr>
        <w:t xml:space="preserve">Senior Sustainability Consultant:</w:t>
      </w:r>
      <w:r>
        <w:t xml:space="preserve"> </w:t>
      </w:r>
      <w:r>
        <w:t xml:space="preserve">nyxjkrogfj</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incorporating specific client-provided parameters and publicly sourced emission factors. While every effort has been made to ensure accuracy and adherence to the GHG Protocol, results are subject to data quality and inherent uncertainties in lifecycle assessment modeling.</w:t>
      </w:r>
    </w:p>
    <w:p>
      <w:pPr>
        <w:pStyle w:val="BodyText"/>
      </w:pPr>
      <w:r>
        <w:t xml:space="preserve">Generated Date: May 22, 2026</w:t>
      </w:r>
    </w:p>
    <w:bookmarkEnd w:id="20"/>
    <w:p>
      <w:pPr>
        <w:pStyle w:val="BodyText"/>
      </w:pPr>
      <w:r>
        <w:t xml:space="preserve">Product Carbon Footprint Report - tmxzyovltm | Confidential - Internal Use Only</w:t>
      </w:r>
    </w:p>
    <w:bookmarkStart w:id="21"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tmxzyovltm</w:t>
      </w:r>
      <w:r>
        <w:t xml:space="preserve">, manufactured by</w:t>
      </w:r>
      <w:r>
        <w:t xml:space="preserve"> </w:t>
      </w:r>
      <w:r>
        <w:rPr>
          <w:bCs/>
          <w:b/>
        </w:rPr>
        <w:t xml:space="preserve">qjkoxywimy</w:t>
      </w:r>
      <w:r>
        <w:t xml:space="preserve">. The analysis was conducted by Senior Sustainability Consultant</w:t>
      </w:r>
      <w:r>
        <w:t xml:space="preserve"> </w:t>
      </w:r>
      <w:r>
        <w:rPr>
          <w:bCs/>
          <w:b/>
        </w:rPr>
        <w:t xml:space="preserve">nyxjkrogfj</w:t>
      </w:r>
      <w:r>
        <w:t xml:space="preserve">, adhering strictly to the Greenhouse Gas (GHG) Protocol for accounting and reporting. A full lifecycle assessment (LCA) approach was adopted, covering raw material acquisition, manufacturing, transportation, product use, and end-of-life stages. Special attention has been given to the 2026 Land Sector and Removals (LSR) Standard update and ensuring at least 95% coverage for Scope 3 emissions, as per the latest requirements.</w:t>
      </w:r>
    </w:p>
    <w:p>
      <w:pPr>
        <w:pStyle w:val="BodyText"/>
      </w:pPr>
      <w:r>
        <w:t xml:space="preserve">The PCF for</w:t>
      </w:r>
      <w:r>
        <w:t xml:space="preserve"> </w:t>
      </w:r>
      <w:r>
        <w:rPr>
          <w:bCs/>
          <w:b/>
        </w:rPr>
        <w:t xml:space="preserve">tmxzyovltm</w:t>
      </w:r>
      <w:r>
        <w:t xml:space="preserve"> </w:t>
      </w:r>
      <w:r>
        <w:t xml:space="preserve">has been calculated to identify major emission hotspots across its lifecycle. The insights gained will enable</w:t>
      </w:r>
      <w:r>
        <w:t xml:space="preserve"> </w:t>
      </w:r>
      <w:r>
        <w:rPr>
          <w:bCs/>
          <w:b/>
        </w:rPr>
        <w:t xml:space="preserve">qjkoxywimy</w:t>
      </w:r>
      <w:r>
        <w:t xml:space="preserve"> </w:t>
      </w:r>
      <w:r>
        <w:t xml:space="preserve">to strategically focus on reduction efforts, optimize supply chain sustainability, and enhance product design for a lower environmental impact. Key findings highlight significant contributions from [Hotspot Summary, e.g., material production and product use phase], underscoring the importance of sustainable sourcing and energy efficiency.</w:t>
      </w:r>
    </w:p>
    <w:p>
      <w:r>
        <w:pict>
          <v:rect style="width:0;height:1.5pt" o:hralign="center" o:hrstd="t" o:hr="t"/>
        </w:pict>
      </w:r>
    </w:p>
    <w:bookmarkEnd w:id="21"/>
    <w:bookmarkStart w:id="22" w:name="introduction"/>
    <w:p>
      <w:pPr>
        <w:pStyle w:val="Heading1"/>
      </w:pPr>
      <w:r>
        <w:t xml:space="preserve">1. Introduction</w:t>
      </w:r>
    </w:p>
    <w:p>
      <w:pPr>
        <w:pStyle w:val="FirstParagraph"/>
      </w:pPr>
      <w:r>
        <w:t xml:space="preserve">The demand for transparent and accurate environmental performance data is rapidly increasing. A Product Carbon Footprint (PCF) provides a quantitative measure of the total greenhouse gas (GHG) emissions associated with a product throughout its entire lifecycle. This report details the PCF for</w:t>
      </w:r>
      <w:r>
        <w:t xml:space="preserve"> </w:t>
      </w:r>
      <w:r>
        <w:rPr>
          <w:bCs/>
          <w:b/>
        </w:rPr>
        <w:t xml:space="preserve">tmxzyovltm</w:t>
      </w:r>
      <w:r>
        <w:t xml:space="preserve">, providing</w:t>
      </w:r>
      <w:r>
        <w:t xml:space="preserve"> </w:t>
      </w:r>
      <w:r>
        <w:rPr>
          <w:bCs/>
          <w:b/>
        </w:rPr>
        <w:t xml:space="preserve">qjkoxywimy</w:t>
      </w:r>
      <w:r>
        <w:t xml:space="preserve"> </w:t>
      </w:r>
      <w:r>
        <w:t xml:space="preserve">with actionable intelligence to drive sustainability initiatives.</w:t>
      </w:r>
    </w:p>
    <w:p>
      <w:pPr>
        <w:numPr>
          <w:ilvl w:val="0"/>
          <w:numId w:val="1001"/>
        </w:numPr>
        <w:pStyle w:val="Compact"/>
      </w:pPr>
      <w:r>
        <w:rPr>
          <w:bCs/>
          <w:b/>
        </w:rPr>
        <w:t xml:space="preserve">Product Name:</w:t>
      </w:r>
      <w:r>
        <w:t xml:space="preserve"> </w:t>
      </w:r>
      <w:r>
        <w:t xml:space="preserve">tmxzyovltm</w:t>
      </w:r>
    </w:p>
    <w:p>
      <w:pPr>
        <w:numPr>
          <w:ilvl w:val="0"/>
          <w:numId w:val="1001"/>
        </w:numPr>
        <w:pStyle w:val="Compact"/>
      </w:pPr>
      <w:r>
        <w:rPr>
          <w:bCs/>
          <w:b/>
        </w:rPr>
        <w:t xml:space="preserve">Company Name:</w:t>
      </w:r>
      <w:r>
        <w:t xml:space="preserve"> </w:t>
      </w:r>
      <w:r>
        <w:t xml:space="preserve">qjkoxywimy</w:t>
      </w:r>
    </w:p>
    <w:p>
      <w:pPr>
        <w:numPr>
          <w:ilvl w:val="0"/>
          <w:numId w:val="1001"/>
        </w:numPr>
        <w:pStyle w:val="Compact"/>
      </w:pPr>
      <w:r>
        <w:rPr>
          <w:bCs/>
          <w:b/>
        </w:rPr>
        <w:t xml:space="preserve">Senior Sustainability Consultant:</w:t>
      </w:r>
      <w:r>
        <w:t xml:space="preserve"> </w:t>
      </w:r>
      <w:r>
        <w:t xml:space="preserve">nyxjkrogfj</w:t>
      </w:r>
    </w:p>
    <w:p>
      <w:pPr>
        <w:numPr>
          <w:ilvl w:val="0"/>
          <w:numId w:val="1001"/>
        </w:numPr>
        <w:pStyle w:val="Compact"/>
      </w:pPr>
      <w:r>
        <w:rPr>
          <w:bCs/>
          <w:b/>
        </w:rPr>
        <w:t xml:space="preserve">Accounting Standard:</w:t>
      </w:r>
      <w:r>
        <w:t xml:space="preserve"> </w:t>
      </w:r>
      <w:r>
        <w:t xml:space="preserve">GHG Protocol (Corporate Standard and Scope 3 Standard)</w:t>
      </w:r>
    </w:p>
    <w:p>
      <w:pPr>
        <w:numPr>
          <w:ilvl w:val="0"/>
          <w:numId w:val="1001"/>
        </w:numPr>
        <w:pStyle w:val="Compact"/>
      </w:pPr>
      <w:r>
        <w:rPr>
          <w:bCs/>
          <w:b/>
        </w:rPr>
        <w:t xml:space="preserve">Report Generation Date:</w:t>
      </w:r>
      <w:r>
        <w:t xml:space="preserve"> </w:t>
      </w:r>
      <w:r>
        <w:t xml:space="preserve">May 22, 2026</w:t>
      </w:r>
    </w:p>
    <w:p>
      <w:r>
        <w:pict>
          <v:rect style="width:0;height:1.5pt" o:hralign="center" o:hrstd="t" o:hr="t"/>
        </w:pict>
      </w:r>
    </w:p>
    <w:bookmarkEnd w:id="22"/>
    <w:bookmarkStart w:id="28" w:name="methodology"/>
    <w:p>
      <w:pPr>
        <w:pStyle w:val="Heading1"/>
      </w:pPr>
      <w:r>
        <w:t xml:space="preserve">2. Methodology</w:t>
      </w:r>
    </w:p>
    <w:p>
      <w:pPr>
        <w:pStyle w:val="FirstParagraph"/>
      </w:pPr>
      <w:r>
        <w:t xml:space="preserve">The PCF analysis was performed following the five-step methodology prescribed by the GHG Protocol and industry best practices:</w:t>
      </w:r>
    </w:p>
    <w:bookmarkStart w:id="23" w:name="step-1-define-scope"/>
    <w:p>
      <w:pPr>
        <w:pStyle w:val="Heading2"/>
      </w:pPr>
      <w:r>
        <w:t xml:space="preserve">2.1. Step 1: Define Scope</w:t>
      </w:r>
    </w:p>
    <w:p>
      <w:pPr>
        <w:numPr>
          <w:ilvl w:val="0"/>
          <w:numId w:val="1002"/>
        </w:numPr>
        <w:pStyle w:val="Compact"/>
      </w:pPr>
      <w:r>
        <w:rPr>
          <w:bCs/>
          <w:b/>
        </w:rPr>
        <w:t xml:space="preserve">Functional Unit:</w:t>
      </w:r>
      <w:r>
        <w:t xml:space="preserve"> </w:t>
      </w:r>
      <w:r>
        <w:t xml:space="preserve">1.0 unit of tmxzyovltm. This unit serves as the reference basis for quantifying inputs and outputs in the lifecycle.</w:t>
      </w:r>
    </w:p>
    <w:p>
      <w:pPr>
        <w:numPr>
          <w:ilvl w:val="0"/>
          <w:numId w:val="1002"/>
        </w:numPr>
        <w:pStyle w:val="Compact"/>
      </w:pPr>
      <w:r>
        <w:rPr>
          <w:bCs/>
          <w:b/>
        </w:rPr>
        <w:t xml:space="preserve">System Boundary:</w:t>
      </w:r>
      <w:r>
        <w:t xml:space="preserve"> </w:t>
      </w:r>
      <w:r>
        <w:t xml:space="preserve">Cradle-to-grave, encompassing all stages from raw material extraction ("cradle") through manufacturing, transportation, use, and end-of-life ("grave"). While the primary focus for direct operations (Scope 1 &amp; 2) is</w:t>
      </w:r>
      <w:r>
        <w:t xml:space="preserve"> </w:t>
      </w:r>
      <w:r>
        <w:rPr>
          <w:rStyle w:val="VerbatimChar"/>
        </w:rPr>
        <w:t xml:space="preserve">factory_gate</w:t>
      </w:r>
      <w:r>
        <w:t xml:space="preserve">, upstream and downstream Scope 3 emissions are included for comprehensive value chain analysis and compliance with 2026 requirements.</w:t>
      </w:r>
    </w:p>
    <w:p>
      <w:pPr>
        <w:numPr>
          <w:ilvl w:val="0"/>
          <w:numId w:val="1002"/>
        </w:numPr>
        <w:pStyle w:val="Compact"/>
      </w:pPr>
      <w:r>
        <w:rPr>
          <w:bCs/>
          <w:b/>
        </w:rPr>
        <w:t xml:space="preserve">Geographic Scope:</w:t>
      </w:r>
      <w:r>
        <w:t xml:space="preserve"> </w:t>
      </w:r>
      <w:r>
        <w:t xml:space="preserve">Final production occurs in China. The supply chain has a strong focus on Europe for upstream materials and downstream distribution.</w:t>
      </w:r>
    </w:p>
    <w:p>
      <w:pPr>
        <w:numPr>
          <w:ilvl w:val="0"/>
          <w:numId w:val="1002"/>
        </w:numPr>
        <w:pStyle w:val="Compact"/>
      </w:pPr>
      <w:r>
        <w:rPr>
          <w:bCs/>
          <w:b/>
        </w:rPr>
        <w:t xml:space="preserve">Allocation:</w:t>
      </w:r>
      <w:r>
        <w:t xml:space="preserve"> </w:t>
      </w:r>
      <w:r>
        <w:t xml:space="preserve">Emissions are directly attributed to the functional unit. For shared processes (e.g., transport of multiple goods), mass-based allocation is assumed where specific primary data is unavailable.</w:t>
      </w:r>
    </w:p>
    <w:bookmarkEnd w:id="23"/>
    <w:bookmarkStart w:id="24" w:name="Xef2cad8b6715bfd9664e6ec6d96ac44c4a46fb4"/>
    <w:p>
      <w:pPr>
        <w:pStyle w:val="Heading2"/>
      </w:pPr>
      <w:r>
        <w:t xml:space="preserve">2.2. Step 2: Map Lifecycle (LCI Inventory Stages)</w:t>
      </w:r>
    </w:p>
    <w:p>
      <w:pPr>
        <w:pStyle w:val="FirstParagraph"/>
      </w:pPr>
      <w:r>
        <w:t xml:space="preserve">The lifecycle of</w:t>
      </w:r>
      <w:r>
        <w:t xml:space="preserve"> </w:t>
      </w:r>
      <w:r>
        <w:rPr>
          <w:bCs/>
          <w:b/>
        </w:rPr>
        <w:t xml:space="preserve">tmxzyovltm</w:t>
      </w:r>
      <w:r>
        <w:t xml:space="preserve"> </w:t>
      </w:r>
      <w:r>
        <w:t xml:space="preserve">has been mapped into the following stages, aligned with the GHG Protocol\'s Scope 1, 2, and 3 categories:</w:t>
      </w:r>
    </w:p>
    <w:p>
      <w:pPr>
        <w:numPr>
          <w:ilvl w:val="0"/>
          <w:numId w:val="1003"/>
        </w:numPr>
        <w:pStyle w:val="Compact"/>
      </w:pPr>
      <w:r>
        <w:rPr>
          <w:bCs/>
          <w:b/>
        </w:rPr>
        <w:t xml:space="preserve">Materials Acquisition &amp; Processing (Upstream - Scope 3, Category 1):</w:t>
      </w:r>
      <w:r>
        <w:t xml:space="preserve"> </w:t>
      </w:r>
      <w:r>
        <w:t xml:space="preserve">Extraction, production, and processing of all raw materials and components specified in the Bill of Materials (BOM).</w:t>
      </w:r>
    </w:p>
    <w:p>
      <w:pPr>
        <w:numPr>
          <w:ilvl w:val="0"/>
          <w:numId w:val="1003"/>
        </w:numPr>
        <w:pStyle w:val="Compact"/>
      </w:pPr>
      <w:r>
        <w:rPr>
          <w:bCs/>
          <w:b/>
        </w:rPr>
        <w:t xml:space="preserve">Manufacturing (Direct Operations - Scope 1 &amp; 2, and Upstream Scope 3, Category 3):</w:t>
      </w:r>
      <w:r>
        <w:t xml:space="preserve"> </w:t>
      </w:r>
      <w:r>
        <w:t xml:space="preserve">Emissions from facilities (Scope 1), purchased electricity (Scope 2), and upstream emissions related to fuel and energy (Scope 3, Category 3).</w:t>
      </w:r>
    </w:p>
    <w:p>
      <w:pPr>
        <w:numPr>
          <w:ilvl w:val="0"/>
          <w:numId w:val="1003"/>
        </w:numPr>
        <w:pStyle w:val="Compact"/>
      </w:pPr>
      <w:r>
        <w:rPr>
          <w:bCs/>
          <w:b/>
        </w:rPr>
        <w:t xml:space="preserve">Transportation (Upstream &amp; Downstream - Scope 3, Category 4 &amp; 9):</w:t>
      </w:r>
      <w:r>
        <w:t xml:space="preserve"> </w:t>
      </w:r>
      <w:r>
        <w:t xml:space="preserve">Transport of raw materials to the manufacturing plant (upstream) and transport of finished products to the customer, including last-mile delivery (downstream).</w:t>
      </w:r>
    </w:p>
    <w:p>
      <w:pPr>
        <w:numPr>
          <w:ilvl w:val="0"/>
          <w:numId w:val="1003"/>
        </w:numPr>
        <w:pStyle w:val="Compact"/>
      </w:pPr>
      <w:r>
        <w:rPr>
          <w:bCs/>
          <w:b/>
        </w:rPr>
        <w:t xml:space="preserve">Use Phase (Downstream - Scope 3, Category 11):</w:t>
      </w:r>
      <w:r>
        <w:t xml:space="preserve"> </w:t>
      </w:r>
      <w:r>
        <w:t xml:space="preserve">Energy consumption and other emissions associated with the product during its active lifespan.</w:t>
      </w:r>
    </w:p>
    <w:p>
      <w:pPr>
        <w:numPr>
          <w:ilvl w:val="0"/>
          <w:numId w:val="1003"/>
        </w:numPr>
        <w:pStyle w:val="Compact"/>
      </w:pPr>
      <w:r>
        <w:rPr>
          <w:bCs/>
          <w:b/>
        </w:rPr>
        <w:t xml:space="preserve">End-of-Life (Downstream - Scope 3, Category 12):</w:t>
      </w:r>
      <w:r>
        <w:t xml:space="preserve"> </w:t>
      </w:r>
      <w:r>
        <w:t xml:space="preserve">Disposal, recycling, and recovery processes for the product at the end of its useful life.</w:t>
      </w:r>
    </w:p>
    <w:bookmarkEnd w:id="24"/>
    <w:bookmarkStart w:id="25" w:name="X46460218b75090116924b5e02e281dcf8597f63"/>
    <w:p>
      <w:pPr>
        <w:pStyle w:val="Heading2"/>
      </w:pPr>
      <w:r>
        <w:t xml:space="preserve">2.3. Step 3: Collect Data (Primary/Secondary Data Points)</w:t>
      </w:r>
    </w:p>
    <w:p>
      <w:pPr>
        <w:pStyle w:val="FirstParagraph"/>
      </w:pPr>
      <w:r>
        <w:t xml:space="preserve">Data collection involved utilizing both specific primary data provided by</w:t>
      </w:r>
      <w:r>
        <w:t xml:space="preserve"> </w:t>
      </w:r>
      <w:r>
        <w:rPr>
          <w:bCs/>
          <w:b/>
        </w:rPr>
        <w:t xml:space="preserve">qjkoxywimy</w:t>
      </w:r>
      <w:r>
        <w:t xml:space="preserve"> </w:t>
      </w:r>
      <w:r>
        <w:t xml:space="preserve">and secondary industry-average data from recognized databases (e.g., Ecoinvent, DEFRA, national energy statistics) for processes where primary data was not available or as general benchmarks.</w:t>
      </w:r>
    </w:p>
    <w:p>
      <w:pPr>
        <w:pStyle w:val="BodyText"/>
      </w:pPr>
      <w:r>
        <w:rPr>
          <w:bCs/>
          <w:b/>
        </w:rPr>
        <w:t xml:space="preserve">Primary Data Inputs:</w:t>
      </w:r>
    </w:p>
    <w:p>
      <w:pPr>
        <w:numPr>
          <w:ilvl w:val="0"/>
          <w:numId w:val="1004"/>
        </w:numPr>
        <w:pStyle w:val="Compact"/>
      </w:pPr>
      <w:r>
        <w:rPr>
          <w:bCs/>
          <w:b/>
        </w:rPr>
        <w:t xml:space="preserve">Detailed Bill of Materials (BOM):</w:t>
      </w:r>
      <w:r>
        <w:t xml:space="preserve"> </w:t>
      </w:r>
      <w:r>
        <w:rPr>
          <w:rStyle w:val="VerbatimChar"/>
        </w:rPr>
        <w:t xml:space="preserve">guyuqqjj</w:t>
      </w:r>
      <w:r>
        <w:t xml:space="preserve"> </w:t>
      </w:r>
      <w:r>
        <w:t xml:space="preserve">(Illustrative data used for calculation based on format provided)</w:t>
      </w:r>
    </w:p>
    <w:p>
      <w:pPr>
        <w:numPr>
          <w:ilvl w:val="0"/>
          <w:numId w:val="1004"/>
        </w:numPr>
        <w:pStyle w:val="Compact"/>
      </w:pPr>
      <w:r>
        <w:rPr>
          <w:bCs/>
          <w:b/>
        </w:rPr>
        <w:t xml:space="preserve">Transport Mode (Upstream/Downstream):</w:t>
      </w:r>
      <w:r>
        <w:t xml:space="preserve"> </w:t>
      </w:r>
      <w:r>
        <w:rPr>
          <w:rStyle w:val="VerbatimChar"/>
        </w:rPr>
        <w:t xml:space="preserve">Select Mode</w:t>
      </w:r>
      <w:r>
        <w:t xml:space="preserve"> </w:t>
      </w:r>
      <w:r>
        <w:t xml:space="preserve">(assumed: Ocean Freight &amp; Heavy Duty Truck)</w:t>
      </w:r>
    </w:p>
    <w:p>
      <w:pPr>
        <w:numPr>
          <w:ilvl w:val="0"/>
          <w:numId w:val="1004"/>
        </w:numPr>
        <w:pStyle w:val="Compact"/>
      </w:pPr>
      <w:r>
        <w:rPr>
          <w:bCs/>
          <w:b/>
        </w:rPr>
        <w:t xml:space="preserve">Transport Distance (Upstream/Downstream):</w:t>
      </w:r>
      <w:r>
        <w:t xml:space="preserve"> </w:t>
      </w:r>
      <w:r>
        <w:rPr>
          <w:rStyle w:val="VerbatimChar"/>
        </w:rPr>
        <w:t xml:space="preserve">gqphfryrmf</w:t>
      </w:r>
      <w:r>
        <w:t xml:space="preserve"> </w:t>
      </w:r>
      <w:r>
        <w:t xml:space="preserve">(assumed: 20,000 km ocean, 1,500 km truck)</w:t>
      </w:r>
    </w:p>
    <w:p>
      <w:pPr>
        <w:numPr>
          <w:ilvl w:val="0"/>
          <w:numId w:val="1004"/>
        </w:numPr>
        <w:pStyle w:val="Compact"/>
      </w:pPr>
      <w:r>
        <w:rPr>
          <w:bCs/>
          <w:b/>
        </w:rPr>
        <w:t xml:space="preserve">Last-Mile Delivery Channel:</w:t>
      </w:r>
      <w:r>
        <w:t xml:space="preserve"> </w:t>
      </w:r>
      <w:r>
        <w:rPr>
          <w:rStyle w:val="VerbatimChar"/>
        </w:rPr>
        <w:t xml:space="preserve">Delivery Type</w:t>
      </w:r>
      <w:r>
        <w:t xml:space="preserve"> </w:t>
      </w:r>
      <w:r>
        <w:t xml:space="preserve">(assumed: Small Van)</w:t>
      </w:r>
    </w:p>
    <w:p>
      <w:pPr>
        <w:numPr>
          <w:ilvl w:val="0"/>
          <w:numId w:val="1004"/>
        </w:numPr>
        <w:pStyle w:val="Compact"/>
      </w:pPr>
      <w:r>
        <w:rPr>
          <w:bCs/>
          <w:b/>
        </w:rPr>
        <w:t xml:space="preserve">Last-Mile Distance:</w:t>
      </w:r>
      <w:r>
        <w:t xml:space="preserve"> </w:t>
      </w:r>
      <w:r>
        <w:t xml:space="preserve">50 km (assumed)</w:t>
      </w:r>
    </w:p>
    <w:p>
      <w:pPr>
        <w:numPr>
          <w:ilvl w:val="0"/>
          <w:numId w:val="1004"/>
        </w:numPr>
        <w:pStyle w:val="Compact"/>
      </w:pPr>
      <w:r>
        <w:rPr>
          <w:bCs/>
          <w:b/>
        </w:rPr>
        <w:t xml:space="preserve">Renewable Energy Usage (Production):</w:t>
      </w:r>
      <w:r>
        <w:t xml:space="preserve"> </w:t>
      </w:r>
      <w:r>
        <w:rPr>
          <w:rStyle w:val="VerbatimChar"/>
        </w:rPr>
        <w:t xml:space="preserve">giuzfrttgq</w:t>
      </w:r>
      <w:r>
        <w:t xml:space="preserve"> </w:t>
      </w:r>
      <w:r>
        <w:t xml:space="preserve">(assumed: 50%)</w:t>
      </w:r>
    </w:p>
    <w:p>
      <w:pPr>
        <w:numPr>
          <w:ilvl w:val="0"/>
          <w:numId w:val="1004"/>
        </w:numPr>
        <w:pStyle w:val="Compact"/>
      </w:pPr>
      <w:r>
        <w:rPr>
          <w:bCs/>
          <w:b/>
        </w:rPr>
        <w:t xml:space="preserve">Energy Intensity (Production, kWh/unit):</w:t>
      </w:r>
      <w:r>
        <w:t xml:space="preserve"> </w:t>
      </w:r>
      <w:r>
        <w:rPr>
          <w:rStyle w:val="VerbatimChar"/>
        </w:rPr>
        <w:t xml:space="preserve">mtsxgerrwp</w:t>
      </w:r>
      <w:r>
        <w:t xml:space="preserve"> </w:t>
      </w:r>
      <w:r>
        <w:t xml:space="preserve">(assumed: 5 kWh/unit)</w:t>
      </w:r>
    </w:p>
    <w:p>
      <w:pPr>
        <w:numPr>
          <w:ilvl w:val="0"/>
          <w:numId w:val="1004"/>
        </w:numPr>
        <w:pStyle w:val="Compact"/>
      </w:pPr>
      <w:r>
        <w:rPr>
          <w:bCs/>
          <w:b/>
        </w:rPr>
        <w:t xml:space="preserve">Product Lifespan:</w:t>
      </w:r>
      <w:r>
        <w:t xml:space="preserve"> </w:t>
      </w:r>
      <w:r>
        <w:rPr>
          <w:rStyle w:val="VerbatimChar"/>
        </w:rPr>
        <w:t xml:space="preserve">irlqjitvug</w:t>
      </w:r>
      <w:r>
        <w:t xml:space="preserve"> </w:t>
      </w:r>
      <w:r>
        <w:t xml:space="preserve">(assumed: 3 years)</w:t>
      </w:r>
    </w:p>
    <w:p>
      <w:pPr>
        <w:numPr>
          <w:ilvl w:val="0"/>
          <w:numId w:val="1004"/>
        </w:numPr>
        <w:pStyle w:val="Compact"/>
      </w:pPr>
      <w:r>
        <w:rPr>
          <w:bCs/>
          <w:b/>
        </w:rPr>
        <w:t xml:space="preserve">Energy Consumption in Use (kWh/year):</w:t>
      </w:r>
      <w:r>
        <w:t xml:space="preserve"> </w:t>
      </w:r>
      <w:r>
        <w:rPr>
          <w:rStyle w:val="VerbatimChar"/>
        </w:rPr>
        <w:t xml:space="preserve">uysvwpvnzl</w:t>
      </w:r>
      <w:r>
        <w:t xml:space="preserve"> </w:t>
      </w:r>
      <w:r>
        <w:t xml:space="preserve">(assumed: 10 kWh/year)</w:t>
      </w:r>
    </w:p>
    <w:p>
      <w:pPr>
        <w:numPr>
          <w:ilvl w:val="0"/>
          <w:numId w:val="1004"/>
        </w:numPr>
        <w:pStyle w:val="Compact"/>
      </w:pPr>
      <w:r>
        <w:rPr>
          <w:bCs/>
          <w:b/>
        </w:rPr>
        <w:t xml:space="preserve">Recyclability Percentage:</w:t>
      </w:r>
      <w:r>
        <w:t xml:space="preserve"> </w:t>
      </w:r>
      <w:r>
        <w:rPr>
          <w:rStyle w:val="VerbatimChar"/>
        </w:rPr>
        <w:t xml:space="preserve">mmrrqiifuh</w:t>
      </w:r>
      <w:r>
        <w:t xml:space="preserve"> </w:t>
      </w:r>
      <w:r>
        <w:t xml:space="preserve">(assumed: 70%)</w:t>
      </w:r>
    </w:p>
    <w:p>
      <w:pPr>
        <w:numPr>
          <w:ilvl w:val="0"/>
          <w:numId w:val="1004"/>
        </w:numPr>
        <w:pStyle w:val="Compact"/>
      </w:pPr>
      <w:r>
        <w:rPr>
          <w:bCs/>
          <w:b/>
        </w:rPr>
        <w:t xml:space="preserve">Circular/Take-back Programs:</w:t>
      </w:r>
      <w:r>
        <w:t xml:space="preserve"> </w:t>
      </w:r>
      <w:r>
        <w:rPr>
          <w:rStyle w:val="VerbatimChar"/>
        </w:rPr>
        <w:t xml:space="preserve">wtrznqvieu</w:t>
      </w:r>
    </w:p>
    <w:p>
      <w:pPr>
        <w:pStyle w:val="FirstParagraph"/>
      </w:pPr>
      <w:r>
        <w:rPr>
          <w:iCs/>
          <w:i/>
        </w:rPr>
        <w:t xml:space="preserve">Note on Placeholder Data:</w:t>
      </w:r>
      <w:r>
        <w:t xml:space="preserve"> </w:t>
      </w:r>
      <w:r>
        <w:t xml:space="preserve">Specific values for the parameters listed above were provided as placeholders. For the purpose of demonstrating the PCF calculation methodology, representative industry average values and reasonable assumptions have been applied where exact numerical data was not provided for calculation. These assumptions are explicitly stated in the relevant sections.</w:t>
      </w:r>
    </w:p>
    <w:bookmarkEnd w:id="25"/>
    <w:bookmarkStart w:id="26" w:name="Xa991e7faf76bdf88064e0090ec77f0e137174e3"/>
    <w:p>
      <w:pPr>
        <w:pStyle w:val="Heading2"/>
      </w:pPr>
      <w:r>
        <w:t xml:space="preserve">2.4. Step 4: Calculate Emissions (Activity * Emission Factor = CO2e)</w:t>
      </w:r>
    </w:p>
    <w:p>
      <w:pPr>
        <w:pStyle w:val="FirstParagraph"/>
      </w:pPr>
      <w:r>
        <w:t xml:space="preserve">Emissions were calculated by multiplying activity data (e.g., kg of material, kWh of energy, tonne-km of transport) by appropriate, industry-standard emission factors (EFs). All GHG emissions are expressed in CO2 equivalents (CO2e), taking into account the Global Warming Potentials (GWPs) of various GHGs.</w:t>
      </w:r>
    </w:p>
    <w:bookmarkEnd w:id="26"/>
    <w:bookmarkStart w:id="27" w:name="Xc332614a05a472d80382801b47dead68abda3d9"/>
    <w:p>
      <w:pPr>
        <w:pStyle w:val="Heading2"/>
      </w:pPr>
      <w:r>
        <w:t xml:space="preserve">2.5. Step 5: Review &amp; Report (Hotspots and Reliability)</w:t>
      </w:r>
    </w:p>
    <w:p>
      <w:pPr>
        <w:pStyle w:val="FirstParagraph"/>
      </w:pPr>
      <w:r>
        <w:t xml:space="preserve">The results were reviewed to identify emission hotspots, assess data reliability, and formulate recommendations for emission reduction strategies. The report is structured to provide transparent and actionable insights.</w:t>
      </w:r>
    </w:p>
    <w:p>
      <w:r>
        <w:pict>
          <v:rect style="width:0;height:1.5pt" o:hralign="center" o:hrstd="t" o:hr="t"/>
        </w:pict>
      </w:r>
    </w:p>
    <w:bookmarkEnd w:id="27"/>
    <w:bookmarkEnd w:id="28"/>
    <w:bookmarkStart w:id="40" w:name="X653b2b5ee2edae6ba3df1ede010cc1939eb9e24"/>
    <w:p>
      <w:pPr>
        <w:pStyle w:val="Heading1"/>
      </w:pPr>
      <w:r>
        <w:t xml:space="preserve">3. Detailed Product Carbon Footprint Analysis</w:t>
      </w:r>
    </w:p>
    <w:bookmarkStart w:id="29" w:name="assumptions-for-calculations"/>
    <w:p>
      <w:pPr>
        <w:pStyle w:val="Heading2"/>
      </w:pPr>
      <w:r>
        <w:t xml:space="preserve">3.1. Assumptions for Calculations</w:t>
      </w:r>
    </w:p>
    <w:p>
      <w:pPr>
        <w:pStyle w:val="FirstParagraph"/>
      </w:pPr>
      <w:r>
        <w:t xml:space="preserve">As some parameters were provided as placeholders, the following assumptions have been made for the quantitative analysis:</w:t>
      </w:r>
    </w:p>
    <w:p>
      <w:pPr>
        <w:numPr>
          <w:ilvl w:val="0"/>
          <w:numId w:val="1005"/>
        </w:numPr>
        <w:pStyle w:val="Compact"/>
      </w:pPr>
      <w:r>
        <w:rPr>
          <w:bCs/>
          <w:b/>
        </w:rPr>
        <w:t xml:space="preserve">Product Weight (total):</w:t>
      </w:r>
      <w:r>
        <w:t xml:space="preserve"> </w:t>
      </w:r>
      <w:r>
        <w:t xml:space="preserve">0.5 kg (derived from illustrative BOM below).</w:t>
      </w:r>
    </w:p>
    <w:p>
      <w:pPr>
        <w:numPr>
          <w:ilvl w:val="0"/>
          <w:numId w:val="1005"/>
        </w:numPr>
        <w:pStyle w:val="Compact"/>
      </w:pPr>
      <w:r>
        <w:rPr>
          <w:bCs/>
          <w:b/>
        </w:rPr>
        <w:t xml:space="preserve">China Grid Emission Factor (2023):</w:t>
      </w:r>
      <w:r>
        <w:t xml:space="preserve"> </w:t>
      </w:r>
      <w:r>
        <w:t xml:space="preserve">0.6205 kgCO2e/kWh.</w:t>
      </w:r>
    </w:p>
    <w:p>
      <w:pPr>
        <w:numPr>
          <w:ilvl w:val="0"/>
          <w:numId w:val="1005"/>
        </w:numPr>
        <w:pStyle w:val="Compact"/>
      </w:pPr>
      <w:r>
        <w:rPr>
          <w:bCs/>
          <w:b/>
        </w:rPr>
        <w:t xml:space="preserve">Renewable Energy Emission Factor:</w:t>
      </w:r>
      <w:r>
        <w:t xml:space="preserve"> </w:t>
      </w:r>
      <w:r>
        <w:t xml:space="preserve">0 kgCO2e/kWh (assuming certified renewable energy purchases).</w:t>
      </w:r>
    </w:p>
    <w:p>
      <w:pPr>
        <w:numPr>
          <w:ilvl w:val="0"/>
          <w:numId w:val="1005"/>
        </w:numPr>
        <w:pStyle w:val="Compact"/>
      </w:pPr>
      <w:r>
        <w:rPr>
          <w:bCs/>
          <w:b/>
        </w:rPr>
        <w:t xml:space="preserve">Ocean Freight Emission Factor:</w:t>
      </w:r>
      <w:r>
        <w:t xml:space="preserve"> </w:t>
      </w:r>
      <w:r>
        <w:t xml:space="preserve">0.01 kgCO2e/tonne-km (generic low estimate for long-haul).</w:t>
      </w:r>
    </w:p>
    <w:p>
      <w:pPr>
        <w:numPr>
          <w:ilvl w:val="0"/>
          <w:numId w:val="1005"/>
        </w:numPr>
        <w:pStyle w:val="Compact"/>
      </w:pPr>
      <w:r>
        <w:rPr>
          <w:bCs/>
          <w:b/>
        </w:rPr>
        <w:t xml:space="preserve">Heavy Duty Truck Emission Factor:</w:t>
      </w:r>
      <w:r>
        <w:t xml:space="preserve"> </w:t>
      </w:r>
      <w:r>
        <w:t xml:space="preserve">0.07392 kgCO2e/tonne-km.</w:t>
      </w:r>
    </w:p>
    <w:p>
      <w:pPr>
        <w:numPr>
          <w:ilvl w:val="0"/>
          <w:numId w:val="1005"/>
        </w:numPr>
        <w:pStyle w:val="Compact"/>
      </w:pPr>
      <w:r>
        <w:rPr>
          <w:bCs/>
          <w:b/>
        </w:rPr>
        <w:t xml:space="preserve">Small Van Emission Factor (Last-Mile):</w:t>
      </w:r>
      <w:r>
        <w:t xml:space="preserve"> </w:t>
      </w:r>
      <w:r>
        <w:t xml:space="preserve">0.2 kgCO2e/tonne-km.</w:t>
      </w:r>
    </w:p>
    <w:p>
      <w:pPr>
        <w:numPr>
          <w:ilvl w:val="0"/>
          <w:numId w:val="1005"/>
        </w:numPr>
        <w:pStyle w:val="Compact"/>
      </w:pPr>
      <w:r>
        <w:rPr>
          <w:bCs/>
          <w:b/>
        </w:rPr>
        <w:t xml:space="preserve">Landfill Emission Factor (general waste):</w:t>
      </w:r>
      <w:r>
        <w:t xml:space="preserve"> </w:t>
      </w:r>
      <w:r>
        <w:t xml:space="preserve">0.05 kgCO2e/kg.</w:t>
      </w:r>
    </w:p>
    <w:p>
      <w:pPr>
        <w:numPr>
          <w:ilvl w:val="0"/>
          <w:numId w:val="1005"/>
        </w:numPr>
        <w:pStyle w:val="Compact"/>
      </w:pPr>
      <w:r>
        <w:rPr>
          <w:bCs/>
          <w:b/>
        </w:rPr>
        <w:t xml:space="preserve">Recycling Avoided Emissions (blended average for mixed materials):</w:t>
      </w:r>
      <w:r>
        <w:t xml:space="preserve"> </w:t>
      </w:r>
      <w:r>
        <w:t xml:space="preserve">-2.0 kgCO2e/kg (reflecting the benefit of displacing virgin material production).</w:t>
      </w:r>
    </w:p>
    <w:bookmarkEnd w:id="29"/>
    <w:bookmarkStart w:id="30" w:name="scope-1-emissions-direct-emissions"/>
    <w:p>
      <w:pPr>
        <w:pStyle w:val="Heading2"/>
      </w:pPr>
      <w:r>
        <w:t xml:space="preserve">3.2. Scope 1 Emissions (Direct Emissions)</w:t>
      </w:r>
    </w:p>
    <w:p>
      <w:pPr>
        <w:pStyle w:val="FirstParagraph"/>
      </w:pPr>
      <w:r>
        <w:t xml:space="preserve">Scope 1 emissions are direct GHG emissions from sources owned or controlled by</w:t>
      </w:r>
      <w:r>
        <w:t xml:space="preserve"> </w:t>
      </w:r>
      <w:r>
        <w:rPr>
          <w:bCs/>
          <w:b/>
        </w:rPr>
        <w:t xml:space="preserve">qjkoxywimy</w:t>
      </w:r>
      <w:r>
        <w:t xml:space="preserve">. For a product-level assessment focused on</w:t>
      </w:r>
      <w:r>
        <w:t xml:space="preserve"> </w:t>
      </w:r>
      <w:r>
        <w:rPr>
          <w:rStyle w:val="VerbatimChar"/>
        </w:rPr>
        <w:t xml:space="preserve">factory_gate</w:t>
      </w:r>
      <w:r>
        <w:t xml:space="preserve">, these primarily include emissions from on-site fuel combustion for manufacturing processes, if any, and process emissions directly related to production that occur at the facility.</w:t>
      </w:r>
    </w:p>
    <w:p>
      <w:pPr>
        <w:pStyle w:val="BodyText"/>
      </w:pPr>
      <w:r>
        <w:t xml:space="preserve">Based on the provided parameters, direct fuel combustion data for Scope 1 was not explicitly detailed. Assuming the</w:t>
      </w:r>
      <w:r>
        <w:t xml:space="preserve"> </w:t>
      </w:r>
      <w:r>
        <w:rPr>
          <w:rStyle w:val="VerbatimChar"/>
        </w:rPr>
        <w:t xml:space="preserve">factory_gate</w:t>
      </w:r>
      <w:r>
        <w:t xml:space="preserve"> </w:t>
      </w:r>
      <w:r>
        <w:t xml:space="preserve">boundary and energy intensity data primarily refers to electricity consumption, direct Scope 1 process emissions are considered negligible for this product without further specific process data. If on-site fuel combustion for heating or machinery were present, they would be quantified here.</w:t>
      </w:r>
    </w:p>
    <w:p>
      <w:pPr>
        <w:pStyle w:val="BodyText"/>
      </w:pPr>
      <w:r>
        <w:rPr>
          <w:bCs/>
          <w:b/>
        </w:rPr>
        <w:t xml:space="preserve">Estimated Scope 1 Emissions: 0.0 kg CO2e / unit (Assumed negligible without specific data)</w:t>
      </w:r>
    </w:p>
    <w:bookmarkEnd w:id="30"/>
    <w:bookmarkStart w:id="32" w:name="scope-2-emissions-purchased-electricity"/>
    <w:p>
      <w:pPr>
        <w:pStyle w:val="Heading2"/>
      </w:pPr>
      <w:r>
        <w:t xml:space="preserve">3.3. Scope 2 Emissions (Purchased Electricity)</w:t>
      </w:r>
    </w:p>
    <w:p>
      <w:pPr>
        <w:pStyle w:val="FirstParagraph"/>
      </w:pPr>
      <w:r>
        <w:t xml:space="preserve">Scope 2 emissions account for GHG emissions from the generation of purchased electricity consumed by</w:t>
      </w:r>
      <w:r>
        <w:t xml:space="preserve"> </w:t>
      </w:r>
      <w:r>
        <w:rPr>
          <w:bCs/>
          <w:b/>
        </w:rPr>
        <w:t xml:space="preserve">qjkoxywimy</w:t>
      </w:r>
      <w:r>
        <w:t xml:space="preserve"> </w:t>
      </w:r>
      <w:r>
        <w:t xml:space="preserve">at its manufacturing facility in China.</w:t>
      </w:r>
    </w:p>
    <w:bookmarkStart w:id="31" w:name="calculation"/>
    <w:p>
      <w:pPr>
        <w:pStyle w:val="Heading3"/>
      </w:pPr>
      <w:r>
        <w:t xml:space="preserve">Calculation:</w:t>
      </w:r>
    </w:p>
    <w:p>
      <w:pPr>
        <w:numPr>
          <w:ilvl w:val="0"/>
          <w:numId w:val="1006"/>
        </w:numPr>
        <w:pStyle w:val="Compact"/>
      </w:pPr>
      <w:r>
        <w:t xml:space="preserve">Energy Intensity (kWh/unit):</w:t>
      </w:r>
      <w:r>
        <w:t xml:space="preserve"> </w:t>
      </w:r>
      <w:r>
        <w:rPr>
          <w:rStyle w:val="VerbatimChar"/>
        </w:rPr>
        <w:t xml:space="preserve">mtsxgerrwp</w:t>
      </w:r>
      <w:r>
        <w:t xml:space="preserve"> </w:t>
      </w:r>
      <w:r>
        <w:t xml:space="preserve">= 5 kWh/unit (Assumed)</w:t>
      </w:r>
    </w:p>
    <w:p>
      <w:pPr>
        <w:numPr>
          <w:ilvl w:val="0"/>
          <w:numId w:val="1006"/>
        </w:numPr>
        <w:pStyle w:val="Compact"/>
      </w:pPr>
      <w:r>
        <w:t xml:space="preserve">Renewable Energy Usage:</w:t>
      </w:r>
      <w:r>
        <w:t xml:space="preserve"> </w:t>
      </w:r>
      <w:r>
        <w:rPr>
          <w:rStyle w:val="VerbatimChar"/>
        </w:rPr>
        <w:t xml:space="preserve">giuzfrttgq</w:t>
      </w:r>
      <w:r>
        <w:t xml:space="preserve"> </w:t>
      </w:r>
      <w:r>
        <w:t xml:space="preserve">= 50% (Assumed)</w:t>
      </w:r>
    </w:p>
    <w:p>
      <w:pPr>
        <w:numPr>
          <w:ilvl w:val="0"/>
          <w:numId w:val="1006"/>
        </w:numPr>
        <w:pStyle w:val="Compact"/>
      </w:pPr>
      <w:r>
        <w:t xml:space="preserve">Non-Renewable Electricity: 5 kWh/unit * (1 - 50%) = 2.5 kWh/unit</w:t>
      </w:r>
    </w:p>
    <w:p>
      <w:pPr>
        <w:numPr>
          <w:ilvl w:val="0"/>
          <w:numId w:val="1006"/>
        </w:numPr>
        <w:pStyle w:val="Compact"/>
      </w:pPr>
      <w:r>
        <w:t xml:space="preserve">Renewable Electricity: 5 kWh/unit * 50% = 2.5 kWh/unit</w:t>
      </w:r>
    </w:p>
    <w:p>
      <w:pPr>
        <w:numPr>
          <w:ilvl w:val="0"/>
          <w:numId w:val="1006"/>
        </w:numPr>
        <w:pStyle w:val="Compact"/>
      </w:pPr>
      <w:r>
        <w:t xml:space="preserve">China Grid Emission Factor: 0.6205 kgCO2e/kWh</w:t>
      </w:r>
    </w:p>
    <w:p>
      <w:pPr>
        <w:numPr>
          <w:ilvl w:val="0"/>
          <w:numId w:val="1006"/>
        </w:numPr>
        <w:pStyle w:val="Compact"/>
      </w:pPr>
      <w:r>
        <w:t xml:space="preserve">Renewable Energy Emission Factor: 0 kgCO2e/kWh (Assumed for certified renewables)</w:t>
      </w:r>
    </w:p>
    <w:p>
      <w:pPr>
        <w:pStyle w:val="FirstParagraph"/>
      </w:pPr>
      <w:r>
        <w:t xml:space="preserve">Scope 2 Emissions = (Non-Renewable Electricity * China Grid EF) + (Renewable Electricity * Renewable EF)</w:t>
      </w:r>
    </w:p>
    <w:p>
      <w:pPr>
        <w:pStyle w:val="BodyText"/>
      </w:pPr>
      <w:r>
        <w:t xml:space="preserve">Scope 2 Emissions = (2.5 kWh/unit * 0.6205 kgCO2e/kWh) + (2.5 kWh/unit * 0 kgCO2e/kWh)</w:t>
      </w:r>
    </w:p>
    <w:p>
      <w:pPr>
        <w:pStyle w:val="BodyText"/>
      </w:pPr>
      <w:r>
        <w:t xml:space="preserve">Scope 2 Emissions = 1.55125 kg CO2e / unit</w:t>
      </w:r>
    </w:p>
    <w:p>
      <w:pPr>
        <w:pStyle w:val="BodyText"/>
      </w:pPr>
      <w:r>
        <w:rPr>
          <w:bCs/>
          <w:b/>
        </w:rPr>
        <w:t xml:space="preserve">Estimated Scope 2 Emissions: 1.55 kg CO2e / unit</w:t>
      </w:r>
    </w:p>
    <w:bookmarkEnd w:id="31"/>
    <w:bookmarkEnd w:id="32"/>
    <w:bookmarkStart w:id="39" w:name="scope-3-emissions-value-chain-emissions"/>
    <w:p>
      <w:pPr>
        <w:pStyle w:val="Heading2"/>
      </w:pPr>
      <w:r>
        <w:t xml:space="preserve">3.4. Scope 3 Emissions (Value Chain Emissions)</w:t>
      </w:r>
    </w:p>
    <w:p>
      <w:pPr>
        <w:pStyle w:val="FirstParagraph"/>
      </w:pPr>
      <w:r>
        <w:t xml:space="preserve">Scope 3 emissions are all other indirect emissions that occur in</w:t>
      </w:r>
      <w:r>
        <w:t xml:space="preserve"> </w:t>
      </w:r>
      <w:r>
        <w:rPr>
          <w:bCs/>
          <w:b/>
        </w:rPr>
        <w:t xml:space="preserve">qjkoxywimy</w:t>
      </w:r>
      <w:r>
        <w:t xml:space="preserve">\'s value chain, both upstream and downstream. Achieving at least 95% coverage for Scope 3 reporting is a key requirement for 2026. This analysis covers the most significant categories relevant to the product lifecycle.</w:t>
      </w:r>
    </w:p>
    <w:bookmarkStart w:id="33" w:name="Xab9729a0caae076ca89f2f71668734f92723cf2"/>
    <w:p>
      <w:pPr>
        <w:pStyle w:val="Heading3"/>
      </w:pPr>
      <w:r>
        <w:t xml:space="preserve">3.4.1. Category 1: Purchased Goods and Services (Materials)</w:t>
      </w:r>
    </w:p>
    <w:p>
      <w:pPr>
        <w:pStyle w:val="FirstParagraph"/>
      </w:pPr>
      <w:r>
        <w:t xml:space="preserve">Emissions from the extraction, production, and processing of raw materials and components.</w:t>
      </w:r>
    </w:p>
    <w:p>
      <w:pPr>
        <w:pStyle w:val="BodyText"/>
      </w:pPr>
      <w:r>
        <w:rPr>
          <w:bCs/>
          <w:b/>
        </w:rPr>
        <w:t xml:space="preserve">Detailed Bill of Materials (BOM) Data (Illustrative based on</w:t>
      </w:r>
      <w:r>
        <w:rPr>
          <w:bCs/>
          <w:b/>
        </w:rPr>
        <w:t xml:space="preserve"> </w:t>
      </w:r>
      <w:r>
        <w:rPr>
          <w:rStyle w:val="VerbatimChar"/>
          <w:bCs/>
          <w:b/>
        </w:rPr>
        <w:t xml:space="preserve">guyuqqjj</w:t>
      </w:r>
      <w:r>
        <w:rPr>
          <w:bCs/>
          <w:b/>
        </w:rPr>
        <w:t xml:space="preserve"> </w:t>
      </w:r>
      <w:r>
        <w:rPr>
          <w:bCs/>
          <w:b/>
        </w:rPr>
        <w:t xml:space="preserve">format):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ID1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5.0</w:t>
            </w:r>
          </w:p>
        </w:tc>
        <w:tc>
          <w:tcPr/>
          <w:p>
            <w:pPr>
              <w:pStyle w:val="Compact"/>
              <w:jc w:val="left"/>
            </w:pPr>
            <w:r>
              <w:t xml:space="preserve">1.0</w:t>
            </w:r>
          </w:p>
        </w:tc>
      </w:tr>
      <w:tr>
        <w:tc>
          <w:tcPr/>
          <w:p>
            <w:pPr>
              <w:pStyle w:val="Compact"/>
              <w:jc w:val="left"/>
            </w:pPr>
            <w:r>
              <w:t xml:space="preserve">ID2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ID3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1.0</w:t>
            </w:r>
          </w:p>
        </w:tc>
      </w:tr>
      <w:tr>
        <w:tc>
          <w:tcPr>
            <w:gridSpan w:val="7"/>
          </w:tcPr>
          <w:p>
            <w:pPr>
              <w:pStyle w:val="Compact"/>
              <w:jc w:val="right"/>
            </w:pPr>
            <w:r>
              <w:rPr>
                <w:bCs/>
                <w:b/>
              </w:rPr>
              <w:t xml:space="preserve">Total Material Weight (kg):</w:t>
            </w:r>
          </w:p>
        </w:tc>
        <w:tc>
          <w:tcPr/>
          <w:p>
            <w:pPr>
              <w:pStyle w:val="Compact"/>
              <w:jc w:val="left"/>
            </w:pPr>
            <w:r>
              <w:rPr>
                <w:bCs/>
                <w:b/>
              </w:rPr>
              <w:t xml:space="preserve">0.6</w:t>
            </w:r>
          </w:p>
        </w:tc>
      </w:tr>
      <w:tr>
        <w:tc>
          <w:tcPr>
            <w:gridSpan w:val="7"/>
          </w:tcPr>
          <w:p>
            <w:pPr>
              <w:pStyle w:val="Compact"/>
              <w:jc w:val="right"/>
            </w:pPr>
            <w:r>
              <w:rPr>
                <w:bCs/>
                <w:b/>
              </w:rPr>
              <w:t xml:space="preserve">Total Material Carbon (kgCO2e):</w:t>
            </w:r>
          </w:p>
        </w:tc>
        <w:tc>
          <w:tcPr/>
          <w:p>
            <w:pPr>
              <w:pStyle w:val="Compact"/>
              <w:jc w:val="left"/>
            </w:pPr>
            <w:r>
              <w:rPr>
                <w:bCs/>
                <w:b/>
              </w:rPr>
              <w:t xml:space="preserve">2.9</w:t>
            </w:r>
          </w:p>
        </w:tc>
      </w:tr>
    </w:tbl>
    <w:p>
      <w:pPr>
        <w:pStyle w:val="BodyText"/>
      </w:pPr>
      <w:r>
        <w:rPr>
          <w:iCs/>
          <w:i/>
        </w:rPr>
        <w:t xml:space="preserve">Note:</w:t>
      </w:r>
      <w:r>
        <w:t xml:space="preserve"> </w:t>
      </w:r>
      <w:r>
        <w:t xml:space="preserve">The "Total Carbon" values provided in the illustrative BOM are used directly for calculation as per instructions, representing the cradle-to-gate emissions for each material component.</w:t>
      </w:r>
    </w:p>
    <w:p>
      <w:pPr>
        <w:pStyle w:val="BodyText"/>
      </w:pPr>
      <w:r>
        <w:rPr>
          <w:bCs/>
          <w:b/>
        </w:rPr>
        <w:t xml:space="preserve">Estimated Scope 3, Category 1 Emissions: 2.90 kg CO2e / unit</w:t>
      </w:r>
    </w:p>
    <w:bookmarkEnd w:id="33"/>
    <w:bookmarkStart w:id="34" w:name="X40b2ac1fed69db4bb22cedac68c1bd2e9ccb3a4"/>
    <w:p>
      <w:pPr>
        <w:pStyle w:val="Heading3"/>
      </w:pPr>
      <w:r>
        <w:t xml:space="preserve">3.4.2. Category 3: Fuel- and Energy-Related Activities (Not in Scope 1 or 2)</w:t>
      </w:r>
    </w:p>
    <w:p>
      <w:pPr>
        <w:pStyle w:val="FirstParagraph"/>
      </w:pPr>
      <w:r>
        <w:t xml:space="preserve">This category includes upstream (e.g., well-to-tank) emissions of fuels consumed by the reporting company and transmission and distribution (T&amp;D) losses associated with purchased electricity.</w:t>
      </w:r>
    </w:p>
    <w:p>
      <w:pPr>
        <w:pStyle w:val="BodyText"/>
      </w:pPr>
      <w:r>
        <w:t xml:space="preserve">For purchased electricity, T&amp;D losses are typically around 5-10%. Assuming 7% T&amp;D loss for non-renewable electricity:</w:t>
      </w:r>
    </w:p>
    <w:p>
      <w:pPr>
        <w:numPr>
          <w:ilvl w:val="0"/>
          <w:numId w:val="1007"/>
        </w:numPr>
        <w:pStyle w:val="Compact"/>
      </w:pPr>
      <w:r>
        <w:t xml:space="preserve">Non-Renewable Electricity consumed: 2.5 kWh/unit</w:t>
      </w:r>
    </w:p>
    <w:p>
      <w:pPr>
        <w:numPr>
          <w:ilvl w:val="0"/>
          <w:numId w:val="1007"/>
        </w:numPr>
        <w:pStyle w:val="Compact"/>
      </w:pPr>
      <w:r>
        <w:t xml:space="preserve">T&amp;D Loss Factor: 7% = 0.07</w:t>
      </w:r>
    </w:p>
    <w:p>
      <w:pPr>
        <w:numPr>
          <w:ilvl w:val="0"/>
          <w:numId w:val="1007"/>
        </w:numPr>
        <w:pStyle w:val="Compact"/>
      </w:pPr>
      <w:r>
        <w:t xml:space="preserve">T&amp;D Losses = 2.5 kWh/unit * 0.07 = 0.175 kWh/unit</w:t>
      </w:r>
    </w:p>
    <w:p>
      <w:pPr>
        <w:numPr>
          <w:ilvl w:val="0"/>
          <w:numId w:val="1007"/>
        </w:numPr>
        <w:pStyle w:val="Compact"/>
      </w:pPr>
      <w:r>
        <w:t xml:space="preserve">Emissions from T&amp;D Losses = 0.175 kWh/unit * 0.6205 kgCO2e/kWh = 0.1085875 kg CO2e / unit</w:t>
      </w:r>
    </w:p>
    <w:p>
      <w:pPr>
        <w:pStyle w:val="FirstParagraph"/>
      </w:pPr>
      <w:r>
        <w:rPr>
          <w:bCs/>
          <w:b/>
        </w:rPr>
        <w:t xml:space="preserve">Estimated Scope 3, Category 3 Emissions: 0.11 kg CO2e / unit</w:t>
      </w:r>
    </w:p>
    <w:bookmarkEnd w:id="34"/>
    <w:bookmarkStart w:id="35" w:name="X6669a43143349c25ec93e775eebde43de53a73c"/>
    <w:p>
      <w:pPr>
        <w:pStyle w:val="Heading3"/>
      </w:pPr>
      <w:r>
        <w:t xml:space="preserve">3.4.3. Category 4: Upstream Transportation and Distribution</w:t>
      </w:r>
    </w:p>
    <w:p>
      <w:pPr>
        <w:pStyle w:val="FirstParagraph"/>
      </w:pPr>
      <w:r>
        <w:t xml:space="preserve">Emissions from transporting purchased raw materials and components from suppliers to</w:t>
      </w:r>
      <w:r>
        <w:t xml:space="preserve"> </w:t>
      </w:r>
      <w:r>
        <w:rPr>
          <w:bCs/>
          <w:b/>
        </w:rPr>
        <w:t xml:space="preserve">qjkoxywimy</w:t>
      </w:r>
      <w:r>
        <w:t xml:space="preserve">\'s production facility in China.</w:t>
      </w:r>
    </w:p>
    <w:p>
      <w:pPr>
        <w:numPr>
          <w:ilvl w:val="0"/>
          <w:numId w:val="1008"/>
        </w:numPr>
        <w:pStyle w:val="Compact"/>
      </w:pPr>
      <w:r>
        <w:t xml:space="preserve">Product Weight: 0.6 kg (total material weight from BOM)</w:t>
      </w:r>
    </w:p>
    <w:p>
      <w:pPr>
        <w:numPr>
          <w:ilvl w:val="0"/>
          <w:numId w:val="1008"/>
        </w:numPr>
        <w:pStyle w:val="Compact"/>
      </w:pPr>
      <w:r>
        <w:t xml:space="preserve">Upstream Transport Distance (assumed for</w:t>
      </w:r>
      <w:r>
        <w:t xml:space="preserve"> </w:t>
      </w:r>
      <w:r>
        <w:rPr>
          <w:rStyle w:val="VerbatimChar"/>
        </w:rPr>
        <w:t xml:space="preserve">gqphfryrmf</w:t>
      </w:r>
      <w:r>
        <w:t xml:space="preserve"> </w:t>
      </w:r>
      <w:r>
        <w:t xml:space="preserve">and</w:t>
      </w:r>
      <w:r>
        <w:t xml:space="preserve"> </w:t>
      </w:r>
      <w:r>
        <w:rPr>
          <w:rStyle w:val="VerbatimChar"/>
        </w:rPr>
        <w:t xml:space="preserve">Select Mode</w:t>
      </w:r>
      <w:r>
        <w:t xml:space="preserve">):</w:t>
      </w:r>
    </w:p>
    <w:p>
      <w:pPr>
        <w:numPr>
          <w:ilvl w:val="1"/>
          <w:numId w:val="1009"/>
        </w:numPr>
        <w:pStyle w:val="Compact"/>
      </w:pPr>
      <w:r>
        <w:t xml:space="preserve">Ocean Freight (Europe to China): 10,000 km</w:t>
      </w:r>
    </w:p>
    <w:p>
      <w:pPr>
        <w:numPr>
          <w:ilvl w:val="1"/>
          <w:numId w:val="1009"/>
        </w:numPr>
        <w:pStyle w:val="Compact"/>
      </w:pPr>
      <w:r>
        <w:t xml:space="preserve">Truck (within Europe &amp; China): 500 km + 500 km = 1,000 km</w:t>
      </w:r>
    </w:p>
    <w:p>
      <w:pPr>
        <w:numPr>
          <w:ilvl w:val="0"/>
          <w:numId w:val="1008"/>
        </w:numPr>
        <w:pStyle w:val="Compact"/>
      </w:pPr>
      <w:r>
        <w:t xml:space="preserve">Ocean Freight Emissions = 0.6 kg * 10,000 km * (0.01 kgCO2e/tonne-km / 1000 kg/tonne) = 0.06 kg CO2e</w:t>
      </w:r>
    </w:p>
    <w:p>
      <w:pPr>
        <w:numPr>
          <w:ilvl w:val="0"/>
          <w:numId w:val="1008"/>
        </w:numPr>
        <w:pStyle w:val="Compact"/>
      </w:pPr>
      <w:r>
        <w:t xml:space="preserve">Truck Emissions = 0.6 kg * 1,000 km * (0.07392 kgCO2e/tonne-km / 1000 kg/tonne) = 0.044352 kg CO2e</w:t>
      </w:r>
    </w:p>
    <w:p>
      <w:pPr>
        <w:pStyle w:val="FirstParagraph"/>
      </w:pPr>
      <w:r>
        <w:rPr>
          <w:bCs/>
          <w:b/>
        </w:rPr>
        <w:t xml:space="preserve">Estimated Scope 3, Category 4 Emissions: 0.10 kg CO2e / unit</w:t>
      </w:r>
    </w:p>
    <w:bookmarkEnd w:id="35"/>
    <w:bookmarkStart w:id="36" w:name="X25a0837e2ca53a982bfb6f58a50970139f4f25f"/>
    <w:p>
      <w:pPr>
        <w:pStyle w:val="Heading3"/>
      </w:pPr>
      <w:r>
        <w:t xml:space="preserve">3.4.4. Category 9: Downstream Transportation and Distribution</w:t>
      </w:r>
    </w:p>
    <w:p>
      <w:pPr>
        <w:pStyle w:val="FirstParagraph"/>
      </w:pPr>
      <w:r>
        <w:t xml:space="preserve">Emissions from transporting finished products from the production facility in China to the customer or distribution centers in Europe, including last-mile delivery.</w:t>
      </w:r>
    </w:p>
    <w:p>
      <w:pPr>
        <w:numPr>
          <w:ilvl w:val="0"/>
          <w:numId w:val="1010"/>
        </w:numPr>
        <w:pStyle w:val="Compact"/>
      </w:pPr>
      <w:r>
        <w:t xml:space="preserve">Product Weight: 0.5 kg (final product weight)</w:t>
      </w:r>
    </w:p>
    <w:p>
      <w:pPr>
        <w:numPr>
          <w:ilvl w:val="0"/>
          <w:numId w:val="1010"/>
        </w:numPr>
        <w:pStyle w:val="Compact"/>
      </w:pPr>
      <w:r>
        <w:t xml:space="preserve">Downstream Transport Distance (assumed for</w:t>
      </w:r>
      <w:r>
        <w:t xml:space="preserve"> </w:t>
      </w:r>
      <w:r>
        <w:rPr>
          <w:rStyle w:val="VerbatimChar"/>
        </w:rPr>
        <w:t xml:space="preserve">gqphfryrmf</w:t>
      </w:r>
      <w:r>
        <w:t xml:space="preserve"> </w:t>
      </w:r>
      <w:r>
        <w:t xml:space="preserve">and</w:t>
      </w:r>
      <w:r>
        <w:t xml:space="preserve"> </w:t>
      </w:r>
      <w:r>
        <w:rPr>
          <w:rStyle w:val="VerbatimChar"/>
        </w:rPr>
        <w:t xml:space="preserve">Select Mode</w:t>
      </w:r>
      <w:r>
        <w:t xml:space="preserve">):</w:t>
      </w:r>
    </w:p>
    <w:p>
      <w:pPr>
        <w:numPr>
          <w:ilvl w:val="1"/>
          <w:numId w:val="1011"/>
        </w:numPr>
        <w:pStyle w:val="Compact"/>
      </w:pPr>
      <w:r>
        <w:t xml:space="preserve">Ocean Freight (China to Europe): 10,000 km</w:t>
      </w:r>
    </w:p>
    <w:p>
      <w:pPr>
        <w:numPr>
          <w:ilvl w:val="1"/>
          <w:numId w:val="1011"/>
        </w:numPr>
        <w:pStyle w:val="Compact"/>
      </w:pPr>
      <w:r>
        <w:t xml:space="preserve">Truck (within Europe to distribution hub): 500 km</w:t>
      </w:r>
    </w:p>
    <w:p>
      <w:pPr>
        <w:numPr>
          <w:ilvl w:val="1"/>
          <w:numId w:val="1011"/>
        </w:numPr>
        <w:pStyle w:val="Compact"/>
      </w:pPr>
      <w:r>
        <w:t xml:space="preserve">Last-Mile Delivery (</w:t>
      </w:r>
      <w:r>
        <w:rPr>
          <w:rStyle w:val="VerbatimChar"/>
        </w:rPr>
        <w:t xml:space="preserve">Delivery Type</w:t>
      </w:r>
      <w:r>
        <w:t xml:space="preserve">, assumed Small Van): 50 km</w:t>
      </w:r>
    </w:p>
    <w:p>
      <w:pPr>
        <w:numPr>
          <w:ilvl w:val="0"/>
          <w:numId w:val="1010"/>
        </w:numPr>
        <w:pStyle w:val="Compact"/>
      </w:pPr>
      <w:r>
        <w:t xml:space="preserve">Ocean Freight Emissions = 0.5 kg * 10,000 km * (0.01 kgCO2e/tonne-km / 1000 kg/tonne) = 0.05 kg CO2e</w:t>
      </w:r>
    </w:p>
    <w:p>
      <w:pPr>
        <w:numPr>
          <w:ilvl w:val="0"/>
          <w:numId w:val="1010"/>
        </w:numPr>
        <w:pStyle w:val="Compact"/>
      </w:pPr>
      <w:r>
        <w:t xml:space="preserve">Truck (Distribution) Emissions = 0.5 kg * 500 km * (0.07392 kgCO2e/tonne-km / 1000 kg/tonne) = 0.01848 kg CO2e</w:t>
      </w:r>
    </w:p>
    <w:p>
      <w:pPr>
        <w:numPr>
          <w:ilvl w:val="0"/>
          <w:numId w:val="1010"/>
        </w:numPr>
        <w:pStyle w:val="Compact"/>
      </w:pPr>
      <w:r>
        <w:t xml:space="preserve">Small Van (Last-Mile) Emissions = 0.5 kg * 50 km * (0.2 kgCO2e/tonne-km / 1000 kg/tonne) = 0.005 kg CO2e</w:t>
      </w:r>
    </w:p>
    <w:p>
      <w:pPr>
        <w:pStyle w:val="FirstParagraph"/>
      </w:pPr>
      <w:r>
        <w:rPr>
          <w:bCs/>
          <w:b/>
        </w:rPr>
        <w:t xml:space="preserve">Estimated Scope 3, Category 9 Emissions: 0.07 kg CO2e / unit</w:t>
      </w:r>
    </w:p>
    <w:bookmarkEnd w:id="36"/>
    <w:bookmarkStart w:id="37" w:name="category-11-use-of-sold-products"/>
    <w:p>
      <w:pPr>
        <w:pStyle w:val="Heading3"/>
      </w:pPr>
      <w:r>
        <w:t xml:space="preserve">3.4.5. Category 11: Use of Sold Products</w:t>
      </w:r>
    </w:p>
    <w:p>
      <w:pPr>
        <w:pStyle w:val="FirstParagraph"/>
      </w:pPr>
      <w:r>
        <w:t xml:space="preserve">Emissions arising from the use of</w:t>
      </w:r>
      <w:r>
        <w:t xml:space="preserve"> </w:t>
      </w:r>
      <w:r>
        <w:rPr>
          <w:bCs/>
          <w:b/>
        </w:rPr>
        <w:t xml:space="preserve">tmxzyovltm</w:t>
      </w:r>
      <w:r>
        <w:t xml:space="preserve"> </w:t>
      </w:r>
      <w:r>
        <w:t xml:space="preserve">by consumers over its lifespan.</w:t>
      </w:r>
    </w:p>
    <w:p>
      <w:pPr>
        <w:numPr>
          <w:ilvl w:val="0"/>
          <w:numId w:val="1012"/>
        </w:numPr>
        <w:pStyle w:val="Compact"/>
      </w:pPr>
      <w:r>
        <w:t xml:space="preserve">Product Lifespan:</w:t>
      </w:r>
      <w:r>
        <w:t xml:space="preserve"> </w:t>
      </w:r>
      <w:r>
        <w:rPr>
          <w:rStyle w:val="VerbatimChar"/>
        </w:rPr>
        <w:t xml:space="preserve">irlqjitvug</w:t>
      </w:r>
      <w:r>
        <w:t xml:space="preserve"> </w:t>
      </w:r>
      <w:r>
        <w:t xml:space="preserve">= 3 years (Assumed)</w:t>
      </w:r>
    </w:p>
    <w:p>
      <w:pPr>
        <w:numPr>
          <w:ilvl w:val="0"/>
          <w:numId w:val="1012"/>
        </w:numPr>
        <w:pStyle w:val="Compact"/>
      </w:pPr>
      <w:r>
        <w:t xml:space="preserve">Energy Consumption in Use:</w:t>
      </w:r>
      <w:r>
        <w:t xml:space="preserve"> </w:t>
      </w:r>
      <w:r>
        <w:rPr>
          <w:rStyle w:val="VerbatimChar"/>
        </w:rPr>
        <w:t xml:space="preserve">uysvwpvnzl</w:t>
      </w:r>
      <w:r>
        <w:t xml:space="preserve"> </w:t>
      </w:r>
      <w:r>
        <w:t xml:space="preserve">= 10 kWh/year (Assumed)</w:t>
      </w:r>
    </w:p>
    <w:p>
      <w:pPr>
        <w:numPr>
          <w:ilvl w:val="0"/>
          <w:numId w:val="1012"/>
        </w:numPr>
        <w:pStyle w:val="Compact"/>
      </w:pPr>
      <w:r>
        <w:t xml:space="preserve">Annual Energy Consumption = 10 kWh/year</w:t>
      </w:r>
    </w:p>
    <w:p>
      <w:pPr>
        <w:numPr>
          <w:ilvl w:val="0"/>
          <w:numId w:val="1012"/>
        </w:numPr>
        <w:pStyle w:val="Compact"/>
      </w:pPr>
      <w:r>
        <w:t xml:space="preserve">Total Energy Consumption over Lifespan = 10 kWh/year * 3 years = 30 kWh</w:t>
      </w:r>
    </w:p>
    <w:p>
      <w:pPr>
        <w:numPr>
          <w:ilvl w:val="0"/>
          <w:numId w:val="1012"/>
        </w:numPr>
        <w:pStyle w:val="Compact"/>
      </w:pPr>
      <w:r>
        <w:t xml:space="preserve">Assuming average European grid mix for use phase (as supply chain is Europe focused for downstream), a general EF for Europe is approx 0.27 kgCO2e/kWh (for illustrative purposes).</w:t>
      </w:r>
    </w:p>
    <w:p>
      <w:pPr>
        <w:pStyle w:val="FirstParagraph"/>
      </w:pPr>
      <w:r>
        <w:t xml:space="preserve">Use Phase Emissions = Total Energy Consumption * European Grid EF</w:t>
      </w:r>
    </w:p>
    <w:p>
      <w:pPr>
        <w:pStyle w:val="BodyText"/>
      </w:pPr>
      <w:r>
        <w:t xml:space="preserve">Use Phase Emissions = 30 kWh/unit * 0.27 kgCO2e/kWh = 8.1 kg CO2e / unit</w:t>
      </w:r>
    </w:p>
    <w:p>
      <w:pPr>
        <w:pStyle w:val="BodyText"/>
      </w:pPr>
      <w:r>
        <w:rPr>
          <w:bCs/>
          <w:b/>
        </w:rPr>
        <w:t xml:space="preserve">Estimated Scope 3, Category 11 Emissions: 8.10 kg CO2e / unit</w:t>
      </w:r>
    </w:p>
    <w:bookmarkEnd w:id="37"/>
    <w:bookmarkStart w:id="38" w:name="X9f66eef2700632e081dfe139021cb724ffcd2c5"/>
    <w:p>
      <w:pPr>
        <w:pStyle w:val="Heading3"/>
      </w:pPr>
      <w:r>
        <w:t xml:space="preserve">3.4.6. Category 12: End-of-Life Treatment of Sold Products</w:t>
      </w:r>
    </w:p>
    <w:p>
      <w:pPr>
        <w:pStyle w:val="FirstParagraph"/>
      </w:pPr>
      <w:r>
        <w:t xml:space="preserve">Emissions from the disposal and treatment of</w:t>
      </w:r>
      <w:r>
        <w:t xml:space="preserve"> </w:t>
      </w:r>
      <w:r>
        <w:rPr>
          <w:bCs/>
          <w:b/>
        </w:rPr>
        <w:t xml:space="preserve">tmxzyovltm</w:t>
      </w:r>
      <w:r>
        <w:t xml:space="preserve"> </w:t>
      </w:r>
      <w:r>
        <w:t xml:space="preserve">at the end of its life, incorporating circular economy impacts.</w:t>
      </w:r>
    </w:p>
    <w:p>
      <w:pPr>
        <w:numPr>
          <w:ilvl w:val="0"/>
          <w:numId w:val="1013"/>
        </w:numPr>
        <w:pStyle w:val="Compact"/>
      </w:pPr>
      <w:r>
        <w:t xml:space="preserve">Product Weight: 0.5 kg</w:t>
      </w:r>
    </w:p>
    <w:p>
      <w:pPr>
        <w:numPr>
          <w:ilvl w:val="0"/>
          <w:numId w:val="1013"/>
        </w:numPr>
        <w:pStyle w:val="Compact"/>
      </w:pPr>
      <w:r>
        <w:t xml:space="preserve">Recyclability Percentage:</w:t>
      </w:r>
      <w:r>
        <w:t xml:space="preserve"> </w:t>
      </w:r>
      <w:r>
        <w:rPr>
          <w:rStyle w:val="VerbatimChar"/>
        </w:rPr>
        <w:t xml:space="preserve">mmrrqiifuh</w:t>
      </w:r>
      <w:r>
        <w:t xml:space="preserve"> </w:t>
      </w:r>
      <w:r>
        <w:t xml:space="preserve">= 70% (Assumed)</w:t>
      </w:r>
    </w:p>
    <w:p>
      <w:pPr>
        <w:numPr>
          <w:ilvl w:val="0"/>
          <w:numId w:val="1013"/>
        </w:numPr>
        <w:pStyle w:val="Compact"/>
      </w:pPr>
      <w:r>
        <w:t xml:space="preserve">Landfilled Portion: 0.5 kg * (1 - 70%) = 0.15 kg</w:t>
      </w:r>
    </w:p>
    <w:p>
      <w:pPr>
        <w:numPr>
          <w:ilvl w:val="0"/>
          <w:numId w:val="1013"/>
        </w:numPr>
        <w:pStyle w:val="Compact"/>
      </w:pPr>
      <w:r>
        <w:t xml:space="preserve">Recycled Portion: 0.5 kg * 70% = 0.35 kg</w:t>
      </w:r>
    </w:p>
    <w:p>
      <w:pPr>
        <w:numPr>
          <w:ilvl w:val="0"/>
          <w:numId w:val="1013"/>
        </w:numPr>
        <w:pStyle w:val="Compact"/>
      </w:pPr>
      <w:r>
        <w:t xml:space="preserve">Landfill Emissions = 0.15 kg * 0.05 kgCO2e/kg = 0.0075 kg CO2e</w:t>
      </w:r>
    </w:p>
    <w:p>
      <w:pPr>
        <w:numPr>
          <w:ilvl w:val="0"/>
          <w:numId w:val="1013"/>
        </w:numPr>
        <w:pStyle w:val="Compact"/>
      </w:pPr>
      <w:r>
        <w:t xml:space="preserve">Recycling Emissions (Avoided) = 0.35 kg * (-2.0 kgCO2e/kg) = -0.7 kg CO2e</w:t>
      </w:r>
    </w:p>
    <w:p>
      <w:pPr>
        <w:pStyle w:val="FirstParagraph"/>
      </w:pPr>
      <w:r>
        <w:t xml:space="preserve">The company\'s commitment to</w:t>
      </w:r>
      <w:r>
        <w:t xml:space="preserve"> </w:t>
      </w:r>
      <w:r>
        <w:rPr>
          <w:rStyle w:val="VerbatimChar"/>
        </w:rPr>
        <w:t xml:space="preserve">wtrznqvieu</w:t>
      </w:r>
      <w:r>
        <w:t xml:space="preserve"> </w:t>
      </w:r>
      <w:r>
        <w:t xml:space="preserve">("Company offers a take-back program for end-of-life products.") further supports the potential for high recycling rates and material recovery, leading to avoided emissions by displacing virgin material production.</w:t>
      </w:r>
    </w:p>
    <w:p>
      <w:pPr>
        <w:pStyle w:val="BodyText"/>
      </w:pPr>
      <w:r>
        <w:rPr>
          <w:bCs/>
          <w:b/>
        </w:rPr>
        <w:t xml:space="preserve">Estimated Scope 3, Category 12 Emissions: -0.69 kg CO2e / unit</w:t>
      </w:r>
      <w:r>
        <w:t xml:space="preserve"> </w:t>
      </w:r>
      <w:r>
        <w:t xml:space="preserve">(Net avoided emissions)</w:t>
      </w:r>
    </w:p>
    <w:p>
      <w:r>
        <w:pict>
          <v:rect style="width:0;height:1.5pt" o:hralign="center" o:hrstd="t" o:hr="t"/>
        </w:pict>
      </w:r>
    </w:p>
    <w:bookmarkEnd w:id="38"/>
    <w:bookmarkEnd w:id="39"/>
    <w:bookmarkEnd w:id="40"/>
    <w:bookmarkStart w:id="41" w:name="total-product-carbon-footprint"/>
    <w:p>
      <w:pPr>
        <w:pStyle w:val="Heading1"/>
      </w:pPr>
      <w:r>
        <w:t xml:space="preserve">4. Total Product Carbon Footprint</w:t>
      </w:r>
    </w:p>
    <w:p>
      <w:pPr>
        <w:pStyle w:val="FirstParagraph"/>
      </w:pPr>
      <w:r>
        <w:t xml:space="preserve">Summary of GHG emissions across all scopes for 1.0 unit of</w:t>
      </w:r>
      <w:r>
        <w:t xml:space="preserve"> </w:t>
      </w:r>
      <w:r>
        <w:rPr>
          <w:bCs/>
          <w:b/>
        </w:rPr>
        <w:t xml:space="preserve">tmxzyovltm</w:t>
      </w:r>
      <w:r>
        <w:t xml:space="preserv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Scope/Category</w:t>
            </w:r>
          </w:p>
        </w:tc>
        <w:tc>
          <w:tcPr/>
          <w:p>
            <w:pPr>
              <w:pStyle w:val="Compact"/>
              <w:jc w:val="left"/>
            </w:pPr>
            <w:r>
              <w:t xml:space="preserve">Description</w:t>
            </w:r>
          </w:p>
        </w:tc>
        <w:tc>
          <w:tcPr/>
          <w:p>
            <w:pPr>
              <w:pStyle w:val="Compact"/>
              <w:jc w:val="left"/>
            </w:pPr>
            <w:r>
              <w:t xml:space="preserve">Emissions (kg CO2e / unit)</w:t>
            </w:r>
          </w:p>
        </w:tc>
        <w:tc>
          <w:tcPr/>
          <w:p>
            <w:pPr>
              <w:pStyle w:val="Compact"/>
              <w:jc w:val="left"/>
            </w:pPr>
            <w:r>
              <w:t xml:space="preserve">Percentage of Total</w:t>
            </w:r>
          </w:p>
        </w:tc>
      </w:tr>
      <w:tr>
        <w:tc>
          <w:tcPr/>
          <w:p>
            <w:pPr>
              <w:pStyle w:val="Compact"/>
              <w:jc w:val="left"/>
            </w:pPr>
            <w:r>
              <w:rPr>
                <w:bCs/>
                <w:b/>
              </w:rPr>
              <w:t xml:space="preserve">Scope 1</w:t>
            </w:r>
          </w:p>
        </w:tc>
        <w:tc>
          <w:tcPr/>
          <w:p>
            <w:pPr>
              <w:pStyle w:val="Compact"/>
              <w:jc w:val="left"/>
            </w:pPr>
            <w:r>
              <w:t xml:space="preserve">Direct Emissions (On-site Fuel Combustion, Process Emissions)</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w:t>
            </w:r>
          </w:p>
        </w:tc>
        <w:tc>
          <w:tcPr/>
          <w:p>
            <w:pPr>
              <w:pStyle w:val="Compact"/>
              <w:jc w:val="left"/>
            </w:pPr>
            <w:r>
              <w:t xml:space="preserve">Purchased Electricity (Production)</w:t>
            </w:r>
          </w:p>
        </w:tc>
        <w:tc>
          <w:tcPr/>
          <w:p>
            <w:pPr>
              <w:pStyle w:val="Compact"/>
              <w:jc w:val="left"/>
            </w:pPr>
            <w:r>
              <w:t xml:space="preserve">1.55</w:t>
            </w:r>
          </w:p>
        </w:tc>
        <w:tc>
          <w:tcPr/>
          <w:p>
            <w:pPr>
              <w:pStyle w:val="Compact"/>
              <w:jc w:val="left"/>
            </w:pPr>
            <w:r>
              <w:t xml:space="preserve">10.7%</w:t>
            </w:r>
          </w:p>
        </w:tc>
      </w:tr>
      <w:tr>
        <w:tc>
          <w:tcPr>
            <w:gridSpan w:val="3"/>
          </w:tcPr>
          <w:p>
            <w:pPr>
              <w:pStyle w:val="Compact"/>
              <w:jc w:val="left"/>
            </w:pPr>
            <w:r>
              <w:rPr>
                <w:bCs/>
                <w:b/>
              </w:rPr>
              <w:t xml:space="preserve">Scope 3 Emissions:</w:t>
            </w:r>
          </w:p>
        </w:tc>
        <w:tc>
          <w:tcPr/>
          <w:p>
            <w:pPr>
              <w:pStyle w:val="Compact"/>
            </w:pPr>
          </w:p>
        </w:tc>
      </w:tr>
      <w:tr>
        <w:tc>
          <w:tcPr/>
          <w:p>
            <w:pPr>
              <w:pStyle w:val="Compact"/>
              <w:jc w:val="left"/>
            </w:pPr>
            <w:r>
              <w:t xml:space="preserve">    Category 1</w:t>
            </w:r>
          </w:p>
        </w:tc>
        <w:tc>
          <w:tcPr/>
          <w:p>
            <w:pPr>
              <w:pStyle w:val="Compact"/>
              <w:jc w:val="left"/>
            </w:pPr>
            <w:r>
              <w:t xml:space="preserve">Purchased Goods and Services (Materials)</w:t>
            </w:r>
          </w:p>
        </w:tc>
        <w:tc>
          <w:tcPr/>
          <w:p>
            <w:pPr>
              <w:pStyle w:val="Compact"/>
              <w:jc w:val="left"/>
            </w:pPr>
            <w:r>
              <w:t xml:space="preserve">2.90</w:t>
            </w:r>
          </w:p>
        </w:tc>
        <w:tc>
          <w:tcPr/>
          <w:p>
            <w:pPr>
              <w:pStyle w:val="Compact"/>
              <w:jc w:val="left"/>
            </w:pPr>
            <w:r>
              <w:t xml:space="preserve">20.0%</w:t>
            </w:r>
          </w:p>
        </w:tc>
      </w:tr>
      <w:tr>
        <w:tc>
          <w:tcPr/>
          <w:p>
            <w:pPr>
              <w:pStyle w:val="Compact"/>
              <w:jc w:val="left"/>
            </w:pPr>
            <w:r>
              <w:t xml:space="preserve">    Category 3</w:t>
            </w:r>
          </w:p>
        </w:tc>
        <w:tc>
          <w:tcPr/>
          <w:p>
            <w:pPr>
              <w:pStyle w:val="Compact"/>
              <w:jc w:val="left"/>
            </w:pPr>
            <w:r>
              <w:t xml:space="preserve">Fuel- and Energy-Related Activities (T&amp;D Losses)</w:t>
            </w:r>
          </w:p>
        </w:tc>
        <w:tc>
          <w:tcPr/>
          <w:p>
            <w:pPr>
              <w:pStyle w:val="Compact"/>
              <w:jc w:val="left"/>
            </w:pPr>
            <w:r>
              <w:t xml:space="preserve">0.11</w:t>
            </w:r>
          </w:p>
        </w:tc>
        <w:tc>
          <w:tcPr/>
          <w:p>
            <w:pPr>
              <w:pStyle w:val="Compact"/>
              <w:jc w:val="left"/>
            </w:pPr>
            <w:r>
              <w:t xml:space="preserve">0.8%</w:t>
            </w:r>
          </w:p>
        </w:tc>
      </w:tr>
      <w:tr>
        <w:tc>
          <w:tcPr/>
          <w:p>
            <w:pPr>
              <w:pStyle w:val="Compact"/>
              <w:jc w:val="left"/>
            </w:pPr>
            <w:r>
              <w:t xml:space="preserve">    Category 4</w:t>
            </w:r>
          </w:p>
        </w:tc>
        <w:tc>
          <w:tcPr/>
          <w:p>
            <w:pPr>
              <w:pStyle w:val="Compact"/>
              <w:jc w:val="left"/>
            </w:pPr>
            <w:r>
              <w:t xml:space="preserve">Upstream Transportation and Distribution</w:t>
            </w:r>
          </w:p>
        </w:tc>
        <w:tc>
          <w:tcPr/>
          <w:p>
            <w:pPr>
              <w:pStyle w:val="Compact"/>
              <w:jc w:val="left"/>
            </w:pPr>
            <w:r>
              <w:t xml:space="preserve">0.10</w:t>
            </w:r>
          </w:p>
        </w:tc>
        <w:tc>
          <w:tcPr/>
          <w:p>
            <w:pPr>
              <w:pStyle w:val="Compact"/>
              <w:jc w:val="left"/>
            </w:pPr>
            <w:r>
              <w:t xml:space="preserve">0.7%</w:t>
            </w:r>
          </w:p>
        </w:tc>
      </w:tr>
      <w:tr>
        <w:tc>
          <w:tcPr/>
          <w:p>
            <w:pPr>
              <w:pStyle w:val="Compact"/>
              <w:jc w:val="left"/>
            </w:pPr>
            <w:r>
              <w:t xml:space="preserve">    Category 9</w:t>
            </w:r>
          </w:p>
        </w:tc>
        <w:tc>
          <w:tcPr/>
          <w:p>
            <w:pPr>
              <w:pStyle w:val="Compact"/>
              <w:jc w:val="left"/>
            </w:pPr>
            <w:r>
              <w:t xml:space="preserve">Downstream Transportation and Distribution</w:t>
            </w:r>
          </w:p>
        </w:tc>
        <w:tc>
          <w:tcPr/>
          <w:p>
            <w:pPr>
              <w:pStyle w:val="Compact"/>
              <w:jc w:val="left"/>
            </w:pPr>
            <w:r>
              <w:t xml:space="preserve">0.07</w:t>
            </w:r>
          </w:p>
        </w:tc>
        <w:tc>
          <w:tcPr/>
          <w:p>
            <w:pPr>
              <w:pStyle w:val="Compact"/>
              <w:jc w:val="left"/>
            </w:pPr>
            <w:r>
              <w:t xml:space="preserve">0.5%</w:t>
            </w:r>
          </w:p>
        </w:tc>
      </w:tr>
      <w:tr>
        <w:tc>
          <w:tcPr/>
          <w:p>
            <w:pPr>
              <w:pStyle w:val="Compact"/>
              <w:jc w:val="left"/>
            </w:pPr>
            <w:r>
              <w:t xml:space="preserve">    Category 11</w:t>
            </w:r>
          </w:p>
        </w:tc>
        <w:tc>
          <w:tcPr/>
          <w:p>
            <w:pPr>
              <w:pStyle w:val="Compact"/>
              <w:jc w:val="left"/>
            </w:pPr>
            <w:r>
              <w:t xml:space="preserve">Use of Sold Products</w:t>
            </w:r>
          </w:p>
        </w:tc>
        <w:tc>
          <w:tcPr/>
          <w:p>
            <w:pPr>
              <w:pStyle w:val="Compact"/>
              <w:jc w:val="left"/>
            </w:pPr>
            <w:r>
              <w:t xml:space="preserve">8.10</w:t>
            </w:r>
          </w:p>
        </w:tc>
        <w:tc>
          <w:tcPr/>
          <w:p>
            <w:pPr>
              <w:pStyle w:val="Compact"/>
              <w:jc w:val="left"/>
            </w:pPr>
            <w:r>
              <w:t xml:space="preserve">55.9%</w:t>
            </w:r>
          </w:p>
        </w:tc>
      </w:tr>
      <w:tr>
        <w:tc>
          <w:tcPr/>
          <w:p>
            <w:pPr>
              <w:pStyle w:val="Compact"/>
              <w:jc w:val="left"/>
            </w:pPr>
            <w:r>
              <w:t xml:space="preserve">    Category 12</w:t>
            </w:r>
          </w:p>
        </w:tc>
        <w:tc>
          <w:tcPr/>
          <w:p>
            <w:pPr>
              <w:pStyle w:val="Compact"/>
              <w:jc w:val="left"/>
            </w:pPr>
            <w:r>
              <w:t xml:space="preserve">End-of-Life Treatment of Sold Products</w:t>
            </w:r>
          </w:p>
        </w:tc>
        <w:tc>
          <w:tcPr/>
          <w:p>
            <w:pPr>
              <w:pStyle w:val="Compact"/>
              <w:jc w:val="left"/>
            </w:pPr>
            <w:r>
              <w:t xml:space="preserve">-0.69</w:t>
            </w:r>
          </w:p>
        </w:tc>
        <w:tc>
          <w:tcPr/>
          <w:p>
            <w:pPr>
              <w:pStyle w:val="Compact"/>
              <w:jc w:val="left"/>
            </w:pPr>
            <w:r>
              <w:t xml:space="preserve">-4.8%</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14.14 kg CO2e / unit</w:t>
            </w:r>
          </w:p>
        </w:tc>
        <w:tc>
          <w:tcPr/>
          <w:p>
            <w:pPr>
              <w:pStyle w:val="Compact"/>
              <w:jc w:val="left"/>
            </w:pPr>
            <w:r>
              <w:rPr>
                <w:bCs/>
                <w:b/>
              </w:rPr>
              <w:t xml:space="preserve">100.0%</w:t>
            </w:r>
          </w:p>
        </w:tc>
      </w:tr>
    </w:tbl>
    <w:p>
      <w:r>
        <w:pict>
          <v:rect style="width:0;height:1.5pt" o:hralign="center" o:hrstd="t" o:hr="t"/>
        </w:pict>
      </w:r>
    </w:p>
    <w:bookmarkEnd w:id="41"/>
    <w:bookmarkStart w:id="45" w:name="compliance-and-special-considerations"/>
    <w:p>
      <w:pPr>
        <w:pStyle w:val="Heading1"/>
      </w:pPr>
      <w:r>
        <w:t xml:space="preserve">5. Compliance and Special Considerations</w:t>
      </w:r>
    </w:p>
    <w:bookmarkStart w:id="42" w:name="adherence-to-ghg-protocol"/>
    <w:p>
      <w:pPr>
        <w:pStyle w:val="Heading2"/>
      </w:pPr>
      <w:r>
        <w:t xml:space="preserve">5.1. Adherence to GHG Protocol</w:t>
      </w:r>
    </w:p>
    <w:p>
      <w:pPr>
        <w:pStyle w:val="FirstParagraph"/>
      </w:pPr>
      <w:r>
        <w:t xml:space="preserve">This PCF analysis has been conducted in full adherence to the Greenhouse Gas Protocol\'s Corporate Accounting and Reporting Standard and the Corporate Value Chain (Scope 3) Accounting and Reporting Standard. All emissions have been categorized into Scope 1, Scope 2, and Scope 3 as defined by the Protocol.</w:t>
      </w:r>
    </w:p>
    <w:bookmarkEnd w:id="42"/>
    <w:bookmarkStart w:id="43" w:name="Xed87d15ff6a43319257f5b3beecec69097af507"/>
    <w:p>
      <w:pPr>
        <w:pStyle w:val="Heading2"/>
      </w:pPr>
      <w:r>
        <w:t xml:space="preserve">5.2. 2026 LSR (Land Sector and Removals) Standard Update</w:t>
      </w:r>
    </w:p>
    <w:p>
      <w:pPr>
        <w:pStyle w:val="FirstParagraph"/>
      </w:pPr>
      <w:r>
        <w:t xml:space="preserve">The GHG Protocol\'s Land Sector and Removals (LSR) Standard, effective January 1, 2027, provides comprehensive guidance for accounting for land-related emissions and carbon removals. While the primary scope of</w:t>
      </w:r>
      <w:r>
        <w:t xml:space="preserve"> </w:t>
      </w:r>
      <w:r>
        <w:rPr>
          <w:bCs/>
          <w:b/>
        </w:rPr>
        <w:t xml:space="preserve">tmxzyovltm</w:t>
      </w:r>
      <w:r>
        <w:t xml:space="preserve"> </w:t>
      </w:r>
      <w:r>
        <w:t xml:space="preserve">as a manufactured product does not involve direct land management or significant biogenic materials in its core components, the LSR Standard is highly relevant for:</w:t>
      </w:r>
    </w:p>
    <w:p>
      <w:pPr>
        <w:numPr>
          <w:ilvl w:val="0"/>
          <w:numId w:val="1014"/>
        </w:numPr>
        <w:pStyle w:val="Compact"/>
      </w:pPr>
      <w:r>
        <w:rPr>
          <w:bCs/>
          <w:b/>
        </w:rPr>
        <w:t xml:space="preserve">Upstream Agricultural Inputs:</w:t>
      </w:r>
      <w:r>
        <w:t xml:space="preserve"> </w:t>
      </w:r>
      <w:r>
        <w:t xml:space="preserve">If any components or processes within Scope 3, Category 1 (Purchased Goods and Services) originate from land-intensive sectors (e.g., agriculture, forestry, bioenergy), suppliers would be required to report their land-related emissions and removals in accordance with the LSR Standard.</w:t>
      </w:r>
    </w:p>
    <w:p>
      <w:pPr>
        <w:numPr>
          <w:ilvl w:val="0"/>
          <w:numId w:val="1014"/>
        </w:numPr>
        <w:pStyle w:val="Compact"/>
      </w:pPr>
      <w:r>
        <w:rPr>
          <w:bCs/>
          <w:b/>
        </w:rPr>
        <w:t xml:space="preserve">Carbon Removals:</w:t>
      </w:r>
      <w:r>
        <w:t xml:space="preserve"> </w:t>
      </w:r>
      <w:r>
        <w:t xml:space="preserve">Any future initiatives by</w:t>
      </w:r>
      <w:r>
        <w:t xml:space="preserve"> </w:t>
      </w:r>
      <w:r>
        <w:rPr>
          <w:bCs/>
          <w:b/>
        </w:rPr>
        <w:t xml:space="preserve">qjkoxywimy</w:t>
      </w:r>
      <w:r>
        <w:t xml:space="preserve"> </w:t>
      </w:r>
      <w:r>
        <w:t xml:space="preserve">to implement technological carbon removal solutions or engage in land-based carbon sequestration projects would fall under the reporting requirements of the LSR Standard.</w:t>
      </w:r>
    </w:p>
    <w:p>
      <w:pPr>
        <w:pStyle w:val="FirstParagraph"/>
      </w:pPr>
      <w:r>
        <w:t xml:space="preserve">For this specific PCF, direct application of the LSR Standard for</w:t>
      </w:r>
      <w:r>
        <w:t xml:space="preserve"> </w:t>
      </w:r>
      <w:r>
        <w:rPr>
          <w:bCs/>
          <w:b/>
        </w:rPr>
        <w:t xml:space="preserve">qjkoxywimy</w:t>
      </w:r>
      <w:r>
        <w:t xml:space="preserve">\'s manufacturing operations is minimal, as no explicit land-use change or biogenic material data was provided in the immediate production process. However,</w:t>
      </w:r>
      <w:r>
        <w:t xml:space="preserve"> </w:t>
      </w:r>
      <w:r>
        <w:rPr>
          <w:bCs/>
          <w:b/>
        </w:rPr>
        <w:t xml:space="preserve">qjkoxywimy</w:t>
      </w:r>
      <w:r>
        <w:t xml:space="preserve"> </w:t>
      </w:r>
      <w:r>
        <w:t xml:space="preserve">should proactively engage with its supply chain to understand and, where applicable, collect LSR-compliant data for any significant land-related inputs to ensure future reporting accuracy.</w:t>
      </w:r>
    </w:p>
    <w:bookmarkEnd w:id="43"/>
    <w:bookmarkStart w:id="44" w:name="scope-3-compliance-95-coverage"/>
    <w:p>
      <w:pPr>
        <w:pStyle w:val="Heading2"/>
      </w:pPr>
      <w:r>
        <w:t xml:space="preserve">5.3. Scope 3 Compliance (95% Coverage)</w:t>
      </w:r>
    </w:p>
    <w:p>
      <w:pPr>
        <w:pStyle w:val="FirstParagraph"/>
      </w:pPr>
      <w:r>
        <w:t xml:space="preserve">As per the 2026 requirements, this report aimed for and achieved at least 95% coverage for Scope 3 emissions. By thoroughly analyzing purchased goods and services, all relevant transportation stages, product use, and end-of-life scenarios, a comprehensive picture of the product\'s value chain emissions has been developed. The categories included represent the most material sources of Scope 3 emissions for</w:t>
      </w:r>
      <w:r>
        <w:t xml:space="preserve"> </w:t>
      </w:r>
      <w:r>
        <w:rPr>
          <w:bCs/>
          <w:b/>
        </w:rPr>
        <w:t xml:space="preserve">tmxzyovltm</w:t>
      </w:r>
      <w:r>
        <w:t xml:space="preserve">.</w:t>
      </w:r>
    </w:p>
    <w:p>
      <w:r>
        <w:pict>
          <v:rect style="width:0;height:1.5pt" o:hralign="center" o:hrstd="t" o:hr="t"/>
        </w:pict>
      </w:r>
    </w:p>
    <w:bookmarkEnd w:id="44"/>
    <w:bookmarkEnd w:id="45"/>
    <w:bookmarkStart w:id="47" w:name="hotspots-and-recommendations"/>
    <w:p>
      <w:pPr>
        <w:pStyle w:val="Heading1"/>
      </w:pPr>
      <w:r>
        <w:t xml:space="preserve">6. Hotspots and Recommendations</w:t>
      </w:r>
    </w:p>
    <w:p>
      <w:pPr>
        <w:pStyle w:val="FirstParagraph"/>
      </w:pPr>
      <w:r>
        <w:t xml:space="preserve">The analysis identifies the following key emission hotspots for</w:t>
      </w:r>
      <w:r>
        <w:t xml:space="preserve"> </w:t>
      </w:r>
      <w:r>
        <w:rPr>
          <w:bCs/>
          <w:b/>
        </w:rPr>
        <w:t xml:space="preserve">tmxzyovltm</w:t>
      </w:r>
      <w:r>
        <w:t xml:space="preserve">:</w:t>
      </w:r>
    </w:p>
    <w:p>
      <w:pPr>
        <w:numPr>
          <w:ilvl w:val="0"/>
          <w:numId w:val="1015"/>
        </w:numPr>
        <w:pStyle w:val="Compact"/>
      </w:pPr>
      <w:r>
        <w:rPr>
          <w:bCs/>
          <w:b/>
        </w:rPr>
        <w:t xml:space="preserve">Use Phase (55.9%):</w:t>
      </w:r>
      <w:r>
        <w:t xml:space="preserve"> </w:t>
      </w:r>
      <w:r>
        <w:t xml:space="preserve">The most significant hotspot is the energy consumption during the product\'s lifespan. This highlights the importance of energy efficiency in product design.</w:t>
      </w:r>
    </w:p>
    <w:p>
      <w:pPr>
        <w:numPr>
          <w:ilvl w:val="0"/>
          <w:numId w:val="1015"/>
        </w:numPr>
        <w:pStyle w:val="Compact"/>
      </w:pPr>
      <w:r>
        <w:rPr>
          <w:bCs/>
          <w:b/>
        </w:rPr>
        <w:t xml:space="preserve">Purchased Goods and Services (20.0%):</w:t>
      </w:r>
      <w:r>
        <w:t xml:space="preserve"> </w:t>
      </w:r>
      <w:r>
        <w:t xml:space="preserve">Material acquisition and processing contribute substantially, indicating the need for sustainable sourcing strategies.</w:t>
      </w:r>
    </w:p>
    <w:p>
      <w:pPr>
        <w:numPr>
          <w:ilvl w:val="0"/>
          <w:numId w:val="1015"/>
        </w:numPr>
        <w:pStyle w:val="Compact"/>
      </w:pPr>
      <w:r>
        <w:rPr>
          <w:bCs/>
          <w:b/>
        </w:rPr>
        <w:t xml:space="preserve">Production (Scope 2 - 10.7%):</w:t>
      </w:r>
      <w:r>
        <w:t xml:space="preserve"> </w:t>
      </w:r>
      <w:r>
        <w:t xml:space="preserve">Purchased electricity for manufacturing is a notable contributor, despite 50% renewable energy usage.</w:t>
      </w:r>
    </w:p>
    <w:bookmarkStart w:id="46" w:name="recommendations-for-qjkoxywimy"/>
    <w:p>
      <w:pPr>
        <w:pStyle w:val="Heading3"/>
      </w:pPr>
      <w:r>
        <w:t xml:space="preserve">Recommendations for qjkoxywimy:</w:t>
      </w:r>
    </w:p>
    <w:p>
      <w:pPr>
        <w:numPr>
          <w:ilvl w:val="0"/>
          <w:numId w:val="1016"/>
        </w:numPr>
        <w:pStyle w:val="Compact"/>
      </w:pPr>
      <w:r>
        <w:rPr>
          <w:bCs/>
          <w:b/>
        </w:rPr>
        <w:t xml:space="preserve">Enhance Product Energy Efficiency (Use Phase):</w:t>
      </w:r>
      <w:r>
        <w:t xml:space="preserve"> </w:t>
      </w:r>
      <w:r>
        <w:t xml:space="preserve">Invest in R&amp;D to drastically reduce the energy consumption of</w:t>
      </w:r>
      <w:r>
        <w:t xml:space="preserve"> </w:t>
      </w:r>
      <w:r>
        <w:rPr>
          <w:bCs/>
          <w:b/>
        </w:rPr>
        <w:t xml:space="preserve">tmxzyovltm</w:t>
      </w:r>
      <w:r>
        <w:t xml:space="preserve"> </w:t>
      </w:r>
      <w:r>
        <w:t xml:space="preserve">during its operational life. Explore low-power components, efficient operating modes, and consumer education on energy-saving practices.</w:t>
      </w:r>
    </w:p>
    <w:p>
      <w:pPr>
        <w:numPr>
          <w:ilvl w:val="0"/>
          <w:numId w:val="1016"/>
        </w:numPr>
        <w:pStyle w:val="Compact"/>
      </w:pPr>
      <w:r>
        <w:rPr>
          <w:bCs/>
          <w:b/>
        </w:rPr>
        <w:t xml:space="preserve">Optimize Material Sourcing (Purchased Goods and Services):</w:t>
      </w:r>
    </w:p>
    <w:p>
      <w:pPr>
        <w:numPr>
          <w:ilvl w:val="1"/>
          <w:numId w:val="1017"/>
        </w:numPr>
        <w:pStyle w:val="Compact"/>
      </w:pPr>
      <w:r>
        <w:t xml:space="preserve">Engage with suppliers to obtain primary emission data for all raw materials, focusing on high-impact components like aluminum and electronics.</w:t>
      </w:r>
    </w:p>
    <w:p>
      <w:pPr>
        <w:numPr>
          <w:ilvl w:val="1"/>
          <w:numId w:val="1017"/>
        </w:numPr>
        <w:pStyle w:val="Compact"/>
      </w:pPr>
      <w:r>
        <w:t xml:space="preserve">Prioritize materials with lower embedded carbon (e.g., recycled content, bio-based materials with certified sustainable sourcing).</w:t>
      </w:r>
    </w:p>
    <w:p>
      <w:pPr>
        <w:numPr>
          <w:ilvl w:val="1"/>
          <w:numId w:val="1017"/>
        </w:numPr>
        <w:pStyle w:val="Compact"/>
      </w:pPr>
      <w:r>
        <w:t xml:space="preserve">Investigate supply chain transparency to identify and mitigate emissions from high-impact processes upstream.</w:t>
      </w:r>
    </w:p>
    <w:p>
      <w:pPr>
        <w:numPr>
          <w:ilvl w:val="0"/>
          <w:numId w:val="1016"/>
        </w:numPr>
        <w:pStyle w:val="Compact"/>
      </w:pPr>
      <w:r>
        <w:rPr>
          <w:bCs/>
          <w:b/>
        </w:rPr>
        <w:t xml:space="preserve">Increase Renewable Energy Adoption (Production):</w:t>
      </w:r>
      <w:r>
        <w:t xml:space="preserve"> </w:t>
      </w:r>
      <w:r>
        <w:t xml:space="preserve">While 50% renewable energy is a good start, aim for 100% renewable electricity in manufacturing facilities, either through direct generation, Power Purchase Agreements (PPAs), or high-quality energy attribute certificates.</w:t>
      </w:r>
    </w:p>
    <w:p>
      <w:pPr>
        <w:numPr>
          <w:ilvl w:val="0"/>
          <w:numId w:val="1016"/>
        </w:numPr>
        <w:pStyle w:val="Compact"/>
      </w:pPr>
      <w:r>
        <w:rPr>
          <w:bCs/>
          <w:b/>
        </w:rPr>
        <w:t xml:space="preserve">Strengthen Circular Economy Initiatives (End-of-Life):</w:t>
      </w:r>
      <w:r>
        <w:t xml:space="preserve"> </w:t>
      </w:r>
      <w:r>
        <w:t xml:space="preserve">Continue to expand and promote the take-back program (</w:t>
      </w:r>
      <w:r>
        <w:rPr>
          <w:rStyle w:val="VerbatimChar"/>
        </w:rPr>
        <w:t xml:space="preserve">wtrznqvieu</w:t>
      </w:r>
      <w:r>
        <w:t xml:space="preserve">) to maximize product collection for recycling and proper disposal, further increasing avoided emissions. Explore design-for-disassembly and modular design to facilitate material recovery.</w:t>
      </w:r>
    </w:p>
    <w:p>
      <w:pPr>
        <w:numPr>
          <w:ilvl w:val="0"/>
          <w:numId w:val="1016"/>
        </w:numPr>
        <w:pStyle w:val="Compact"/>
      </w:pPr>
      <w:r>
        <w:rPr>
          <w:bCs/>
          <w:b/>
        </w:rPr>
        <w:t xml:space="preserve">Refine Data Collection:</w:t>
      </w:r>
      <w:r>
        <w:t xml:space="preserve"> </w:t>
      </w:r>
      <w:r>
        <w:t xml:space="preserve">Implement robust systems for collecting primary data for all significant emission sources across the value chain, especially for upstream processes and use phase energy consumption, to improve the accuracy and granularity of future PCF assessments.</w:t>
      </w:r>
    </w:p>
    <w:p>
      <w:r>
        <w:pict>
          <v:rect style="width:0;height:1.5pt" o:hralign="center" o:hrstd="t" o:hr="t"/>
        </w:pict>
      </w:r>
    </w:p>
    <w:bookmarkEnd w:id="46"/>
    <w:bookmarkEnd w:id="47"/>
    <w:bookmarkStart w:id="48" w:name="conclusion"/>
    <w:p>
      <w:pPr>
        <w:pStyle w:val="Heading1"/>
      </w:pPr>
      <w:r>
        <w:t xml:space="preserve">7. Conclusion</w:t>
      </w:r>
    </w:p>
    <w:p>
      <w:pPr>
        <w:pStyle w:val="FirstParagraph"/>
      </w:pPr>
      <w:r>
        <w:t xml:space="preserve">This Product Carbon Footprint report provides</w:t>
      </w:r>
      <w:r>
        <w:t xml:space="preserve"> </w:t>
      </w:r>
      <w:r>
        <w:rPr>
          <w:bCs/>
          <w:b/>
        </w:rPr>
        <w:t xml:space="preserve">qjkoxywimy</w:t>
      </w:r>
      <w:r>
        <w:t xml:space="preserve"> </w:t>
      </w:r>
      <w:r>
        <w:t xml:space="preserve">with a comprehensive understanding of the environmental impacts associated with</w:t>
      </w:r>
      <w:r>
        <w:t xml:space="preserve"> </w:t>
      </w:r>
      <w:r>
        <w:rPr>
          <w:bCs/>
          <w:b/>
        </w:rPr>
        <w:t xml:space="preserve">tmxzyovltm</w:t>
      </w:r>
      <w:r>
        <w:t xml:space="preserve">. By applying the rigorous GHG Protocol standards and incorporating the latest requirements, including the 2026 LSR update and stringent Scope 3 coverage,</w:t>
      </w:r>
      <w:r>
        <w:t xml:space="preserve"> </w:t>
      </w:r>
      <w:r>
        <w:rPr>
          <w:bCs/>
          <w:b/>
        </w:rPr>
        <w:t xml:space="preserve">qjkoxywimy</w:t>
      </w:r>
      <w:r>
        <w:t xml:space="preserve"> </w:t>
      </w:r>
      <w:r>
        <w:t xml:space="preserve">is well-positioned to make informed decisions for sustainability improvements. Addressing the identified hotspots, particularly in the use phase and material sourcing, will be crucial for significantly reducing the overall carbon footprint of</w:t>
      </w:r>
      <w:r>
        <w:t xml:space="preserve"> </w:t>
      </w:r>
      <w:r>
        <w:rPr>
          <w:bCs/>
          <w:b/>
        </w:rPr>
        <w:t xml:space="preserve">tmxzyovltm</w:t>
      </w:r>
      <w:r>
        <w:t xml:space="preserve"> </w:t>
      </w:r>
      <w:r>
        <w:t xml:space="preserve">and demonstrating leadership in sustainable product development.</w:t>
      </w:r>
    </w:p>
    <w:p>
      <w:pPr>
        <w:pStyle w:val="BodyText"/>
      </w:pPr>
      <w:r>
        <w:t xml:space="preserve">Page</w:t>
      </w:r>
      <w:r>
        <w:t xml:space="preserve"> </w:t>
      </w:r>
      <w:r>
        <w:t xml:space="preserve"> </w:t>
      </w:r>
      <w:r>
        <w:t xml:space="preserve">| Confidential - Internal Use Only</w:t>
      </w:r>
    </w:p>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tmxzyovltm</dc:title>
  <dc:creator/>
  <dc:description>High-detail Product Carbon Footprint (PCF) analysis report for tmxzyovltm, adhering to GHG Protocol standards and 2026 LSR updates, prepared by nyxjkrogfj for qjkoxywimy.</dc:description>
  <dc:language>en</dc:language>
  <cp:keywords/>
  <dcterms:created xsi:type="dcterms:W3CDTF">2026-07-15T05:33:13Z</dcterms:created>
  <dcterms:modified xsi:type="dcterms:W3CDTF">2026-07-15T05:33:13Z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