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tktdhlinhw</w:t>
      </w:r>
    </w:p>
    <w:p>
      <w:pPr>
        <w:pStyle w:val="FirstParagraph"/>
      </w:pPr>
      <w:r>
        <w:t xml:space="preserve">carboncalcpcf.com</w:t>
      </w:r>
    </w:p>
    <w:bookmarkStart w:id="21" w:name="product-carbon-footprint-report"/>
    <w:p>
      <w:pPr>
        <w:pStyle w:val="Heading1"/>
      </w:pPr>
      <w:r>
        <w:t xml:space="preserve">Product Carbon Footprint Report</w:t>
      </w:r>
    </w:p>
    <w:bookmarkStart w:id="20" w:name="for-tktdhlinhw"/>
    <w:p>
      <w:pPr>
        <w:pStyle w:val="Heading2"/>
      </w:pPr>
      <w:r>
        <w:t xml:space="preserve">for tktdhlinhw</w:t>
      </w:r>
    </w:p>
    <w:p>
      <w:pPr>
        <w:pStyle w:val="FirstParagraph"/>
      </w:pPr>
      <w:r>
        <w:rPr>
          <w:bCs/>
          <w:b/>
        </w:rPr>
        <w:t xml:space="preserve">Company Name:</w:t>
      </w:r>
      <w:r>
        <w:t xml:space="preserve"> </w:t>
      </w:r>
      <w:r>
        <w:t xml:space="preserve">oiqdzspeok</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ekrfqxjpqq</w:t>
      </w:r>
    </w:p>
    <w:p>
      <w:pPr>
        <w:pStyle w:val="BodyText"/>
      </w:pPr>
      <w:r>
        <w:t xml:space="preserve">This report is generated based on available data and industry standards. It provides an assessment of the product\'s carbon footprint based on the provided parameters and illustrative emission factors.</w:t>
      </w:r>
    </w:p>
    <w:bookmarkEnd w:id="20"/>
    <w:bookmarkEnd w:id="21"/>
    <w:bookmarkStart w:id="45" w:name="product-carbon-footprint-analysis-report"/>
    <w:p>
      <w:pPr>
        <w:pStyle w:val="Heading1"/>
      </w:pPr>
      <w:r>
        <w:t xml:space="preserve">Product Carbon Footprint Analysis Report</w:t>
      </w:r>
    </w:p>
    <w:p>
      <w:pPr>
        <w:pStyle w:val="FirstParagraph"/>
      </w:pPr>
      <w:r>
        <w:rPr>
          <w:bCs/>
          <w:b/>
        </w:rPr>
        <w:t xml:space="preserve">Generated Date:</w:t>
      </w:r>
      <w:r>
        <w:t xml:space="preserve"> </w:t>
      </w:r>
      <w:r>
        <w:t xml:space="preserve">May 24, 2026</w:t>
      </w:r>
    </w:p>
    <w:p>
      <w:r>
        <w:pict>
          <v:rect style="width:0;height:1.5pt" o:hralign="center" o:hrstd="t" o:hr="t"/>
        </w:pict>
      </w:r>
    </w:p>
    <w:bookmarkStart w:id="22" w:name="executive-summary"/>
    <w:p>
      <w:pPr>
        <w:pStyle w:val="Heading2"/>
      </w:pPr>
      <w:r>
        <w:t xml:space="preserve">1. Executive Summary</w:t>
      </w:r>
    </w:p>
    <w:p>
      <w:pPr>
        <w:pStyle w:val="FirstParagraph"/>
      </w:pPr>
      <w:r>
        <w:t xml:space="preserve">This report presents a high-detail Product Carbon Footprint (PCF) analysis for the product tktdhlinhw, manufactured by oiqdzspeok. The analysis was conducted by Senior Sustainability Consultant ekrfqxjpqq, adhering strictly to the Greenhouse Gas (GHG) Protocol for accounting standards, including the 2026 Land Sector and Removals (LSR) Standard update. The primary objective is to quantify the greenhouse gas emissions associated with the product across its lifecycle, identify emission hotspots, and provide a robust basis for sustainability improvements. The total cradle-to-gate PCF for one functional unit of tktdhlinhw is estimated to be 17.176 kgCO2e, with the majority of emissions stemming from the use phase.</w:t>
      </w:r>
    </w:p>
    <w:bookmarkEnd w:id="22"/>
    <w:bookmarkStart w:id="30" w:name="methodology-and-scope-definition"/>
    <w:p>
      <w:pPr>
        <w:pStyle w:val="Heading2"/>
      </w:pPr>
      <w:r>
        <w:t xml:space="preserve">2. Methodology and Scope Definition</w:t>
      </w:r>
    </w:p>
    <w:p>
      <w:pPr>
        <w:pStyle w:val="FirstParagraph"/>
      </w:pPr>
      <w:r>
        <w:t xml:space="preserve">The Product Carbon Footprint (PCF) analysis was performed following the five-step methodology recommended for life cycle assessments and in strict accordance with the GHG Protocol.</w:t>
      </w:r>
    </w:p>
    <w:bookmarkStart w:id="23" w:name="define-scope"/>
    <w:p>
      <w:pPr>
        <w:pStyle w:val="Heading3"/>
      </w:pPr>
      <w:r>
        <w:t xml:space="preserve">2.1. Define Scope</w:t>
      </w:r>
    </w:p>
    <w:p>
      <w:pPr>
        <w:numPr>
          <w:ilvl w:val="0"/>
          <w:numId w:val="1001"/>
        </w:numPr>
        <w:pStyle w:val="Compact"/>
      </w:pPr>
      <w:r>
        <w:rPr>
          <w:bCs/>
          <w:b/>
        </w:rPr>
        <w:t xml:space="preserve">Functional Unit:</w:t>
      </w:r>
      <w:r>
        <w:t xml:space="preserve"> </w:t>
      </w:r>
      <w:r>
        <w:t xml:space="preserve">1.0 unit of tktdhlinhw</w:t>
      </w:r>
    </w:p>
    <w:p>
      <w:pPr>
        <w:numPr>
          <w:ilvl w:val="0"/>
          <w:numId w:val="1001"/>
        </w:numPr>
        <w:pStyle w:val="Compact"/>
      </w:pPr>
      <w:r>
        <w:rPr>
          <w:bCs/>
          <w:b/>
        </w:rPr>
        <w:t xml:space="preserve">System Boundary:</w:t>
      </w:r>
      <w:r>
        <w:t xml:space="preserve"> </w:t>
      </w:r>
      <w:r>
        <w:t xml:space="preserve">factory_gate (cradle-to-gate, excluding direct customer use and end-of-life, but specified parameters allow for extending beyond this boundary for calculation purposes in Scope 3). The system boundary for this report, while defined as "factory_gate" for primary production, has been expanded to include downstream Scope 3 categories such as Use Phase and End-of-Life based on specific parameter requirements.</w:t>
      </w:r>
    </w:p>
    <w:p>
      <w:pPr>
        <w:numPr>
          <w:ilvl w:val="0"/>
          <w:numId w:val="1001"/>
        </w:numPr>
        <w:pStyle w:val="Compact"/>
      </w:pPr>
      <w:r>
        <w:rPr>
          <w:bCs/>
          <w:b/>
        </w:rPr>
        <w:t xml:space="preserve">Geographic Scope:</w:t>
      </w:r>
      <w:r>
        <w:t xml:space="preserve"> </w:t>
      </w:r>
      <w:r>
        <w:t xml:space="preserve">Final Production Country: China, Supply Chain Focus: Europe Focused (for upstream materials and transport)</w:t>
      </w:r>
    </w:p>
    <w:p>
      <w:pPr>
        <w:numPr>
          <w:ilvl w:val="0"/>
          <w:numId w:val="1001"/>
        </w:numPr>
        <w:pStyle w:val="Compact"/>
      </w:pPr>
      <w:r>
        <w:rPr>
          <w:bCs/>
          <w:b/>
        </w:rPr>
        <w:t xml:space="preserve">Accounting Standard:</w:t>
      </w:r>
      <w:r>
        <w:t xml:space="preserve"> </w:t>
      </w:r>
      <w:r>
        <w:t xml:space="preserve">GHG Protocol. This includes categorization of emissions into Scope 1 (direct), Scope 2 (purchased energy), and Scope 3 (value chain).</w:t>
      </w:r>
    </w:p>
    <w:p>
      <w:pPr>
        <w:numPr>
          <w:ilvl w:val="0"/>
          <w:numId w:val="1001"/>
        </w:numPr>
        <w:pStyle w:val="Compact"/>
      </w:pPr>
      <w:r>
        <w:rPr>
          <w:bCs/>
          <w:b/>
        </w:rPr>
        <w:t xml:space="preserve">Allocation:</w:t>
      </w:r>
      <w:r>
        <w:t xml:space="preserve"> </w:t>
      </w:r>
      <w:r>
        <w:t xml:space="preserve">Emissions are allocated based on mass for material inputs and energy consumption for manufacturing processes, consistent with GHG Protocol Product Standard principles.</w:t>
      </w:r>
    </w:p>
    <w:bookmarkEnd w:id="23"/>
    <w:bookmarkStart w:id="29" w:name="Xda8e5a63f0c58f78cfd3af5f8eb71a63403a897"/>
    <w:p>
      <w:pPr>
        <w:pStyle w:val="Heading3"/>
      </w:pPr>
      <w:r>
        <w:t xml:space="preserve">2.2. Map Lifecycle (LCI Inventory Stages) &amp; Collect Data (Primary/Secondary Data Points)</w:t>
      </w:r>
    </w:p>
    <w:p>
      <w:pPr>
        <w:pStyle w:val="FirstParagraph"/>
      </w:pPr>
      <w:r>
        <w:t xml:space="preserve">The lifecycle of tktdhlinhw was mapped to identify all relevant stages contributing to its carbon footprint. Data collection involved integrating specific company parameters with industry-standard emission factors.</w:t>
      </w:r>
    </w:p>
    <w:bookmarkStart w:id="24" w:name="Xe6b379b401e22edf057255b7b5c7304ea67c519"/>
    <w:p>
      <w:pPr>
        <w:pStyle w:val="Heading4"/>
      </w:pPr>
      <w:r>
        <w:t xml:space="preserve">2.2.1. Bill of Materials (BOM) Analysis (Scope 3, Category 1: Purchased Goods and Services)</w:t>
      </w:r>
    </w:p>
    <w:p>
      <w:pPr>
        <w:pStyle w:val="FirstParagraph"/>
      </w:pPr>
      <w:r>
        <w:t xml:space="preserve">The following Bill of Materials (BOM) for product tktdhlinhw was provided as:</w:t>
      </w:r>
      <w:r>
        <w:t xml:space="preserve"> </w:t>
      </w:r>
      <w:r>
        <w:rPr>
          <w:rStyle w:val="VerbatimChar"/>
        </w:rPr>
        <w:t xml:space="preserve">zrmkpimn</w:t>
      </w:r>
      <w:r>
        <w:t xml:space="preserve">. For the purpose of this report, this placeholder string is interpreted as structured data, and illustrative values adhering to the specified format (ID, Description, Category, Process, Qty, Unit, Emission Factor, Total Carbon) are used for detailed material impact calculation. Industry-standard emission factors (e.g., from Ecoinvent and DEFRA databases) are typically used for the extraction, processing, and manufacturing of these materials.</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 or kg)</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0.15</w:t>
            </w:r>
          </w:p>
        </w:tc>
        <w:tc>
          <w:tcPr/>
          <w:p>
            <w:pPr>
              <w:pStyle w:val="Compact"/>
              <w:jc w:val="left"/>
            </w:pPr>
            <w:r>
              <w:t xml:space="preserve">kg</w:t>
            </w:r>
          </w:p>
        </w:tc>
        <w:tc>
          <w:tcPr/>
          <w:p>
            <w:pPr>
              <w:pStyle w:val="Compact"/>
              <w:jc w:val="left"/>
            </w:pPr>
            <w:r>
              <w:t xml:space="preserve">7.5</w:t>
            </w:r>
          </w:p>
        </w:tc>
        <w:tc>
          <w:tcPr/>
          <w:p>
            <w:pPr>
              <w:pStyle w:val="Compact"/>
              <w:jc w:val="left"/>
            </w:pPr>
            <w:r>
              <w:t xml:space="preserve">1.125</w:t>
            </w:r>
          </w:p>
        </w:tc>
      </w:tr>
      <w:tr>
        <w:tc>
          <w:tcPr/>
          <w:p>
            <w:pPr>
              <w:pStyle w:val="Compact"/>
              <w:jc w:val="left"/>
            </w:pPr>
            <w:r>
              <w:t xml:space="preserve">2</w:t>
            </w:r>
          </w:p>
        </w:tc>
        <w:tc>
          <w:tcPr/>
          <w:p>
            <w:pPr>
              <w:pStyle w:val="Compact"/>
              <w:jc w:val="left"/>
            </w:pPr>
            <w:r>
              <w:t xml:space="preserve">ABS Plastic Enclosure</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0.08</w:t>
            </w:r>
          </w:p>
        </w:tc>
        <w:tc>
          <w:tcPr/>
          <w:p>
            <w:pPr>
              <w:pStyle w:val="Compact"/>
              <w:jc w:val="left"/>
            </w:pPr>
            <w:r>
              <w:t xml:space="preserve">kg</w:t>
            </w:r>
          </w:p>
        </w:tc>
        <w:tc>
          <w:tcPr/>
          <w:p>
            <w:pPr>
              <w:pStyle w:val="Compact"/>
              <w:jc w:val="left"/>
            </w:pPr>
            <w:r>
              <w:t xml:space="preserve">2.5</w:t>
            </w:r>
          </w:p>
        </w:tc>
        <w:tc>
          <w:tcPr/>
          <w:p>
            <w:pPr>
              <w:pStyle w:val="Compact"/>
              <w:jc w:val="left"/>
            </w:pPr>
            <w:r>
              <w:t xml:space="preserve">0.200</w:t>
            </w:r>
          </w:p>
        </w:tc>
      </w:tr>
      <w:tr>
        <w:tc>
          <w:tcPr/>
          <w:p>
            <w:pPr>
              <w:pStyle w:val="Compact"/>
              <w:jc w:val="left"/>
            </w:pPr>
            <w:r>
              <w:t xml:space="preserve">3</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Fabrication</w:t>
            </w:r>
          </w:p>
        </w:tc>
        <w:tc>
          <w:tcPr/>
          <w:p>
            <w:pPr>
              <w:pStyle w:val="Compact"/>
              <w:jc w:val="left"/>
            </w:pPr>
            <w:r>
              <w:t xml:space="preserve">1</w:t>
            </w:r>
          </w:p>
        </w:tc>
        <w:tc>
          <w:tcPr/>
          <w:p>
            <w:pPr>
              <w:pStyle w:val="Compact"/>
              <w:jc w:val="left"/>
            </w:pPr>
            <w:r>
              <w:t xml:space="preserve">unit</w:t>
            </w:r>
          </w:p>
        </w:tc>
        <w:tc>
          <w:tcPr/>
          <w:p>
            <w:pPr>
              <w:pStyle w:val="Compact"/>
              <w:jc w:val="left"/>
            </w:pPr>
            <w:r>
              <w:t xml:space="preserve">0.1</w:t>
            </w:r>
          </w:p>
        </w:tc>
        <w:tc>
          <w:tcPr/>
          <w:p>
            <w:pPr>
              <w:pStyle w:val="Compact"/>
              <w:jc w:val="left"/>
            </w:pPr>
            <w:r>
              <w:t xml:space="preserve">0.100</w:t>
            </w:r>
          </w:p>
        </w:tc>
      </w:tr>
      <w:tr>
        <w:tc>
          <w:tcPr/>
          <w:p>
            <w:pPr>
              <w:pStyle w:val="Compact"/>
              <w:jc w:val="left"/>
            </w:pPr>
            <w:r>
              <w:t xml:space="preserve">4</w:t>
            </w:r>
          </w:p>
        </w:tc>
        <w:tc>
          <w:tcPr/>
          <w:p>
            <w:pPr>
              <w:pStyle w:val="Compact"/>
              <w:jc w:val="left"/>
            </w:pPr>
            <w:r>
              <w:t xml:space="preserve">Lithium-ion Battery</w:t>
            </w:r>
          </w:p>
        </w:tc>
        <w:tc>
          <w:tcPr/>
          <w:p>
            <w:pPr>
              <w:pStyle w:val="Compact"/>
              <w:jc w:val="left"/>
            </w:pPr>
            <w:r>
              <w:t xml:space="preserve">Battery</w:t>
            </w:r>
          </w:p>
        </w:tc>
        <w:tc>
          <w:tcPr/>
          <w:p>
            <w:pPr>
              <w:pStyle w:val="Compact"/>
              <w:jc w:val="left"/>
            </w:pPr>
            <w:r>
              <w:t xml:space="preserve">Manufacturing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15.0</w:t>
            </w:r>
          </w:p>
        </w:tc>
        <w:tc>
          <w:tcPr/>
          <w:p>
            <w:pPr>
              <w:pStyle w:val="Compact"/>
              <w:jc w:val="left"/>
            </w:pPr>
            <w:r>
              <w:t xml:space="preserve">0.750</w:t>
            </w:r>
          </w:p>
        </w:tc>
      </w:tr>
      <w:tr>
        <w:tc>
          <w:tcPr/>
          <w:p>
            <w:pPr>
              <w:pStyle w:val="Compact"/>
              <w:jc w:val="left"/>
            </w:pPr>
            <w:r>
              <w:t xml:space="preserve">5</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0.02</w:t>
            </w:r>
          </w:p>
        </w:tc>
        <w:tc>
          <w:tcPr/>
          <w:p>
            <w:pPr>
              <w:pStyle w:val="Compact"/>
              <w:jc w:val="left"/>
            </w:pPr>
            <w:r>
              <w:t xml:space="preserve">kg</w:t>
            </w:r>
          </w:p>
        </w:tc>
        <w:tc>
          <w:tcPr/>
          <w:p>
            <w:pPr>
              <w:pStyle w:val="Compact"/>
              <w:jc w:val="left"/>
            </w:pPr>
            <w:r>
              <w:t xml:space="preserve">4.0</w:t>
            </w:r>
          </w:p>
        </w:tc>
        <w:tc>
          <w:tcPr/>
          <w:p>
            <w:pPr>
              <w:pStyle w:val="Compact"/>
              <w:jc w:val="left"/>
            </w:pPr>
            <w:r>
              <w:t xml:space="preserve">0.080</w:t>
            </w:r>
          </w:p>
        </w:tc>
      </w:tr>
      <w:tr>
        <w:tc>
          <w:tcPr/>
          <w:p>
            <w:pPr>
              <w:pStyle w:val="Compact"/>
              <w:jc w:val="left"/>
            </w:pPr>
            <w:r>
              <w:t xml:space="preserve">6</w:t>
            </w:r>
          </w:p>
        </w:tc>
        <w:tc>
          <w:tcPr/>
          <w:p>
            <w:pPr>
              <w:pStyle w:val="Compact"/>
              <w:jc w:val="left"/>
            </w:pPr>
            <w:r>
              <w:t xml:space="preserve">Packaging (Cardboard)</w:t>
            </w:r>
          </w:p>
        </w:tc>
        <w:tc>
          <w:tcPr/>
          <w:p>
            <w:pPr>
              <w:pStyle w:val="Compact"/>
              <w:jc w:val="left"/>
            </w:pPr>
            <w:r>
              <w:t xml:space="preserve">Paper/Cardboard</w:t>
            </w:r>
          </w:p>
        </w:tc>
        <w:tc>
          <w:tcPr/>
          <w:p>
            <w:pPr>
              <w:pStyle w:val="Compact"/>
              <w:jc w:val="left"/>
            </w:pPr>
            <w:r>
              <w:t xml:space="preserve">Production</w:t>
            </w:r>
          </w:p>
        </w:tc>
        <w:tc>
          <w:tcPr/>
          <w:p>
            <w:pPr>
              <w:pStyle w:val="Compact"/>
              <w:jc w:val="left"/>
            </w:pPr>
            <w:r>
              <w:t xml:space="preserve">0.03</w:t>
            </w:r>
          </w:p>
        </w:tc>
        <w:tc>
          <w:tcPr/>
          <w:p>
            <w:pPr>
              <w:pStyle w:val="Compact"/>
              <w:jc w:val="left"/>
            </w:pPr>
            <w:r>
              <w:t xml:space="preserve">kg</w:t>
            </w:r>
          </w:p>
        </w:tc>
        <w:tc>
          <w:tcPr/>
          <w:p>
            <w:pPr>
              <w:pStyle w:val="Compact"/>
              <w:jc w:val="left"/>
            </w:pPr>
            <w:r>
              <w:t xml:space="preserve">0.8</w:t>
            </w:r>
          </w:p>
        </w:tc>
        <w:tc>
          <w:tcPr/>
          <w:p>
            <w:pPr>
              <w:pStyle w:val="Compact"/>
              <w:jc w:val="left"/>
            </w:pPr>
            <w:r>
              <w:t xml:space="preserve">0.024</w:t>
            </w:r>
          </w:p>
        </w:tc>
      </w:tr>
      <w:tr>
        <w:tc>
          <w:tcPr>
            <w:gridSpan w:val="7"/>
          </w:tcPr>
          <w:p>
            <w:pPr>
              <w:pStyle w:val="Compact"/>
              <w:jc w:val="left"/>
            </w:pPr>
            <w:r>
              <w:t xml:space="preserve">Total Material Emissions (Illustrative)</w:t>
            </w:r>
          </w:p>
        </w:tc>
        <w:tc>
          <w:tcPr/>
          <w:p>
            <w:pPr>
              <w:pStyle w:val="Compact"/>
              <w:jc w:val="left"/>
            </w:pPr>
            <w:r>
              <w:t xml:space="preserve">2.279</w:t>
            </w:r>
          </w:p>
        </w:tc>
      </w:tr>
    </w:tbl>
    <w:bookmarkEnd w:id="24"/>
    <w:bookmarkStart w:id="25" w:name="energy-inputs-scope-2-purchased-energy"/>
    <w:p>
      <w:pPr>
        <w:pStyle w:val="Heading4"/>
      </w:pPr>
      <w:r>
        <w:t xml:space="preserve">2.2.2. Energy Inputs (Scope 2: Purchased Energy)</w:t>
      </w:r>
    </w:p>
    <w:p>
      <w:pPr>
        <w:pStyle w:val="FirstParagraph"/>
      </w:pPr>
      <w:r>
        <w:t xml:space="preserve">The production phase energy consumption is a critical component. The following customization data was provided:</w:t>
      </w:r>
    </w:p>
    <w:p>
      <w:pPr>
        <w:numPr>
          <w:ilvl w:val="0"/>
          <w:numId w:val="1002"/>
        </w:numPr>
        <w:pStyle w:val="Compact"/>
      </w:pPr>
      <w:r>
        <w:rPr>
          <w:bCs/>
          <w:b/>
        </w:rPr>
        <w:t xml:space="preserve">Renewable Energy Usage:</w:t>
      </w:r>
      <w:r>
        <w:t xml:space="preserve"> </w:t>
      </w:r>
      <w:r>
        <w:t xml:space="preserve">tqzzhzrwdx (Illustrative: 30%)</w:t>
      </w:r>
    </w:p>
    <w:p>
      <w:pPr>
        <w:numPr>
          <w:ilvl w:val="0"/>
          <w:numId w:val="1002"/>
        </w:numPr>
        <w:pStyle w:val="Compact"/>
      </w:pPr>
      <w:r>
        <w:rPr>
          <w:bCs/>
          <w:b/>
        </w:rPr>
        <w:t xml:space="preserve">Energy Intensity (kWh/unit):</w:t>
      </w:r>
      <w:r>
        <w:t xml:space="preserve"> </w:t>
      </w:r>
      <w:r>
        <w:t xml:space="preserve">gekivkuzix (Illustrative: 5 kWh/unit)</w:t>
      </w:r>
    </w:p>
    <w:p>
      <w:pPr>
        <w:pStyle w:val="FirstParagraph"/>
      </w:pPr>
      <w:r>
        <w:t xml:space="preserve">The electricity mix in China, the final production country, significantly impacts these emissions. The average grid emission factor for China is approximately 0.556 kgCO2e/kWh (Climate Transparency Report 2020).</w:t>
      </w:r>
    </w:p>
    <w:bookmarkEnd w:id="25"/>
    <w:bookmarkStart w:id="26" w:name="X2ed737c0ce3051411e6fbac1176eff66967cf40"/>
    <w:p>
      <w:pPr>
        <w:pStyle w:val="Heading4"/>
      </w:pPr>
      <w:r>
        <w:t xml:space="preserve">2.2.3. Logistics Data (Scope 3, Category 4: Upstream Transportation and Distribution &amp; Category 9: Downstream Transportation and Distribution)</w:t>
      </w:r>
    </w:p>
    <w:p>
      <w:pPr>
        <w:pStyle w:val="FirstParagraph"/>
      </w:pPr>
      <w:r>
        <w:t xml:space="preserve">Specific logistics data was incorporated for supply chain analysis:</w:t>
      </w:r>
    </w:p>
    <w:p>
      <w:pPr>
        <w:numPr>
          <w:ilvl w:val="0"/>
          <w:numId w:val="1003"/>
        </w:numPr>
        <w:pStyle w:val="Compact"/>
      </w:pPr>
      <w:r>
        <w:rPr>
          <w:bCs/>
          <w:b/>
        </w:rPr>
        <w:t xml:space="preserve">Transport Mode:</w:t>
      </w:r>
      <w:r>
        <w:t xml:space="preserve"> </w:t>
      </w:r>
      <w:r>
        <w:t xml:space="preserve">Select Mode (Illustrative: Ocean Freight followed by Road Freight)</w:t>
      </w:r>
    </w:p>
    <w:p>
      <w:pPr>
        <w:numPr>
          <w:ilvl w:val="0"/>
          <w:numId w:val="1003"/>
        </w:numPr>
        <w:pStyle w:val="Compact"/>
      </w:pPr>
      <w:r>
        <w:rPr>
          <w:bCs/>
          <w:b/>
        </w:rPr>
        <w:t xml:space="preserve">Transport Distance:</w:t>
      </w:r>
      <w:r>
        <w:t xml:space="preserve"> </w:t>
      </w:r>
      <w:r>
        <w:t xml:space="preserve">tjzsdyftnm (Illustrative: 8000 km Ocean Freight, 500 km Road Freight)</w:t>
      </w:r>
    </w:p>
    <w:p>
      <w:pPr>
        <w:numPr>
          <w:ilvl w:val="0"/>
          <w:numId w:val="1003"/>
        </w:numPr>
        <w:pStyle w:val="Compact"/>
      </w:pPr>
      <w:r>
        <w:rPr>
          <w:bCs/>
          <w:b/>
        </w:rPr>
        <w:t xml:space="preserve">Last-Mile Delivery Channel:</w:t>
      </w:r>
      <w:r>
        <w:t xml:space="preserve"> </w:t>
      </w:r>
      <w:r>
        <w:t xml:space="preserve">Delivery Type (Illustrative: Parcel Delivery)</w:t>
      </w:r>
    </w:p>
    <w:p>
      <w:pPr>
        <w:pStyle w:val="FirstParagraph"/>
      </w:pPr>
      <w:r>
        <w:t xml:space="preserve">Emission factors for transport vary significantly by mode, fuel, and load factor. Illustrative factors used are: Ocean Freight ~0.016 kgCO2e/tonne-km, Road Freight ~0.1 kgCO2e/tonne-km, and Parcel Delivery ~0.2 kgCO2e/parcel.</w:t>
      </w:r>
    </w:p>
    <w:bookmarkEnd w:id="26"/>
    <w:bookmarkStart w:id="27" w:name="X9c47a088dc2010630d22d37d8f68ea322772e33"/>
    <w:p>
      <w:pPr>
        <w:pStyle w:val="Heading4"/>
      </w:pPr>
      <w:r>
        <w:t xml:space="preserve">2.2.4. Use Phase Data (Scope 3, Category 11: Use of Sold Products)</w:t>
      </w:r>
    </w:p>
    <w:p>
      <w:pPr>
        <w:pStyle w:val="FirstParagraph"/>
      </w:pPr>
      <w:r>
        <w:t xml:space="preserve">To expand the \'Use Phase\' calculation, specific durability and consumption data were provided:</w:t>
      </w:r>
    </w:p>
    <w:p>
      <w:pPr>
        <w:numPr>
          <w:ilvl w:val="0"/>
          <w:numId w:val="1004"/>
        </w:numPr>
        <w:pStyle w:val="Compact"/>
      </w:pPr>
      <w:r>
        <w:rPr>
          <w:bCs/>
          <w:b/>
        </w:rPr>
        <w:t xml:space="preserve">Product Lifespan:</w:t>
      </w:r>
      <w:r>
        <w:t xml:space="preserve"> </w:t>
      </w:r>
      <w:r>
        <w:t xml:space="preserve">tveqywgrhp (Illustrative: 5 years)</w:t>
      </w:r>
    </w:p>
    <w:p>
      <w:pPr>
        <w:numPr>
          <w:ilvl w:val="0"/>
          <w:numId w:val="1004"/>
        </w:numPr>
        <w:pStyle w:val="Compact"/>
      </w:pPr>
      <w:r>
        <w:rPr>
          <w:bCs/>
          <w:b/>
        </w:rPr>
        <w:t xml:space="preserve">Energy Consumption in Use:</w:t>
      </w:r>
      <w:r>
        <w:t xml:space="preserve"> </w:t>
      </w:r>
      <w:r>
        <w:t xml:space="preserve">lgxllkgvqn (Illustrative: 10 kWh/year)</w:t>
      </w:r>
    </w:p>
    <w:p>
      <w:pPr>
        <w:pStyle w:val="FirstParagraph"/>
      </w:pPr>
      <w:r>
        <w:t xml:space="preserve">The use phase emissions depend on the energy consumption during the product\'s lifespan and the electricity mix of the region where the product is used. As the supply chain focus is Europe, a generic European grid emission factor (illustrative: 0.25 kgCO2e/kWh) will be used for calculation.</w:t>
      </w:r>
    </w:p>
    <w:bookmarkEnd w:id="27"/>
    <w:bookmarkStart w:id="28" w:name="X22f9dae0edae5a4ebf0dcf5b8ca74de2c6ea5a4"/>
    <w:p>
      <w:pPr>
        <w:pStyle w:val="Heading4"/>
      </w:pPr>
      <w:r>
        <w:t xml:space="preserve">2.2.5. End-of-Life (EoL) Scenarios (Scope 3, Category 12: End-of-Life Treatment of Sold Products)</w:t>
      </w:r>
    </w:p>
    <w:p>
      <w:pPr>
        <w:pStyle w:val="FirstParagraph"/>
      </w:pPr>
      <w:r>
        <w:t xml:space="preserve">End-of-Life (EoL) scenarios reflect circular economy impacts:</w:t>
      </w:r>
    </w:p>
    <w:p>
      <w:pPr>
        <w:numPr>
          <w:ilvl w:val="0"/>
          <w:numId w:val="1005"/>
        </w:numPr>
        <w:pStyle w:val="Compact"/>
      </w:pPr>
      <w:r>
        <w:rPr>
          <w:bCs/>
          <w:b/>
        </w:rPr>
        <w:t xml:space="preserve">Recyclability Percentage:</w:t>
      </w:r>
      <w:r>
        <w:t xml:space="preserve"> </w:t>
      </w:r>
      <w:r>
        <w:t xml:space="preserve">todmvirevl (Illustrative: 70%)</w:t>
      </w:r>
    </w:p>
    <w:p>
      <w:pPr>
        <w:numPr>
          <w:ilvl w:val="0"/>
          <w:numId w:val="1005"/>
        </w:numPr>
        <w:pStyle w:val="Compact"/>
      </w:pPr>
      <w:r>
        <w:rPr>
          <w:bCs/>
          <w:b/>
        </w:rPr>
        <w:t xml:space="preserve">Circular/Take-back Programs:</w:t>
      </w:r>
      <w:r>
        <w:t xml:space="preserve"> </w:t>
      </w:r>
      <w:r>
        <w:t xml:space="preserve">esveitpfgj (Illustrative: Yes)</w:t>
      </w:r>
    </w:p>
    <w:p>
      <w:pPr>
        <w:pStyle w:val="FirstParagraph"/>
      </w:pPr>
      <w:r>
        <w:t xml:space="preserve">EoL emissions and potential avoided emissions from recycling are calculated based on the fate of the materials at the end of the product\'s life.</w:t>
      </w:r>
    </w:p>
    <w:p>
      <w:r>
        <w:pict>
          <v:rect style="width:0;height:1.5pt" o:hralign="center" o:hrstd="t" o:hr="t"/>
        </w:pict>
      </w:r>
    </w:p>
    <w:bookmarkEnd w:id="28"/>
    <w:bookmarkEnd w:id="29"/>
    <w:bookmarkEnd w:id="30"/>
    <w:bookmarkStart w:id="41" w:name="X439a6e6dcb43c636bf515ffaf3f59bce0bd6490"/>
    <w:p>
      <w:pPr>
        <w:pStyle w:val="Heading2"/>
      </w:pPr>
      <w:r>
        <w:t xml:space="preserve">3. Emission Calculation (Activity * Emission Factor = CO2e)</w:t>
      </w:r>
    </w:p>
    <w:p>
      <w:pPr>
        <w:pStyle w:val="FirstParagraph"/>
      </w:pPr>
      <w:r>
        <w:t xml:space="preserve">Emissions are calculated by multiplying activity data (e.g., kg of material, kWh of energy, tonne-km of transport) by their respective emission factors. The results are categorized according to the GHG Protocol\'s Scope definitions.</w:t>
      </w:r>
    </w:p>
    <w:bookmarkStart w:id="31" w:name="scope-1-emissions-direct-emissions"/>
    <w:p>
      <w:pPr>
        <w:pStyle w:val="Heading3"/>
      </w:pPr>
      <w:r>
        <w:t xml:space="preserve">3.1. Scope 1 Emissions (Direct Emissions)</w:t>
      </w:r>
    </w:p>
    <w:p>
      <w:pPr>
        <w:pStyle w:val="FirstParagraph"/>
      </w:pPr>
      <w:r>
        <w:t xml:space="preserve">Scope 1 covers direct GHG emissions from sources owned or controlled by oiqdzspeok. For the production of tktdhlinhw, based on the provided parameters, no direct on-site fuel combustion or process emissions within oiqdzspeok\'s direct control were specified. Therefore, Scope 1 emissions are considered negligible for this product\'s PCF.</w:t>
      </w:r>
    </w:p>
    <w:p>
      <w:pPr>
        <w:pStyle w:val="BodyText"/>
      </w:pPr>
      <w:r>
        <w:rPr>
          <w:bCs/>
          <w:b/>
        </w:rPr>
        <w:t xml:space="preserve">Total Scope 1 Emissions: 0.000 kgCO2e</w:t>
      </w:r>
    </w:p>
    <w:bookmarkEnd w:id="31"/>
    <w:bookmarkStart w:id="32" w:name="scope-2-emissions-purchased-energy"/>
    <w:p>
      <w:pPr>
        <w:pStyle w:val="Heading3"/>
      </w:pPr>
      <w:r>
        <w:t xml:space="preserve">3.2. Scope 2 Emissions (Purchased Energy)</w:t>
      </w:r>
    </w:p>
    <w:p>
      <w:pPr>
        <w:pStyle w:val="FirstParagraph"/>
      </w:pPr>
      <w:r>
        <w:t xml:space="preserve">Scope 2 includes indirect GHG emissions from the generation of purchased electricity, steam, heating, and cooling consumed by oiqdzspeok.</w:t>
      </w:r>
    </w:p>
    <w:p>
      <w:pPr>
        <w:numPr>
          <w:ilvl w:val="0"/>
          <w:numId w:val="1006"/>
        </w:numPr>
        <w:pStyle w:val="Compact"/>
      </w:pPr>
      <w:r>
        <w:t xml:space="preserve">Energy Intensity (gekivkuzix): 5 kWh/unit</w:t>
      </w:r>
    </w:p>
    <w:p>
      <w:pPr>
        <w:numPr>
          <w:ilvl w:val="0"/>
          <w:numId w:val="1006"/>
        </w:numPr>
        <w:pStyle w:val="Compact"/>
      </w:pPr>
      <w:r>
        <w:t xml:space="preserve">Renewable Energy Usage (tqzzhzrwdx): 30%</w:t>
      </w:r>
    </w:p>
    <w:p>
      <w:pPr>
        <w:numPr>
          <w:ilvl w:val="0"/>
          <w:numId w:val="1006"/>
        </w:numPr>
        <w:pStyle w:val="Compact"/>
      </w:pPr>
      <w:r>
        <w:t xml:space="preserve">China Grid Emission Factor: 0.556 kgCO2e/kWh (Source: Climate Transparency Report 2020)</w:t>
      </w:r>
    </w:p>
    <w:p>
      <w:pPr>
        <w:numPr>
          <w:ilvl w:val="0"/>
          <w:numId w:val="1006"/>
        </w:numPr>
        <w:pStyle w:val="Compact"/>
      </w:pPr>
      <w:r>
        <w:t xml:space="preserve">Effective Grid Emission Factor (adjusted for renewables): 0.556 kgCO2e/kWh * (1 - 0.30) = 0.3892 kgCO2e/kWh</w:t>
      </w:r>
    </w:p>
    <w:p>
      <w:pPr>
        <w:pStyle w:val="FirstParagraph"/>
      </w:pPr>
      <w:r>
        <w:rPr>
          <w:bCs/>
          <w:b/>
        </w:rPr>
        <w:t xml:space="preserve">Scope 2 Emissions:</w:t>
      </w:r>
      <w:r>
        <w:t xml:space="preserve"> </w:t>
      </w:r>
      <w:r>
        <w:t xml:space="preserve">5 kWh/unit * 0.3892 kgCO2e/kWh =</w:t>
      </w:r>
      <w:r>
        <w:t xml:space="preserve"> </w:t>
      </w:r>
      <w:r>
        <w:rPr>
          <w:bCs/>
          <w:b/>
        </w:rPr>
        <w:t xml:space="preserve">1.946 kgCO2e</w:t>
      </w:r>
    </w:p>
    <w:bookmarkEnd w:id="32"/>
    <w:bookmarkStart w:id="38" w:name="scope-3-emissions-value-chain-emissions"/>
    <w:p>
      <w:pPr>
        <w:pStyle w:val="Heading3"/>
      </w:pPr>
      <w:r>
        <w:t xml:space="preserve">3.3. Scope 3 Emissions (Value Chain Emissions)</w:t>
      </w:r>
    </w:p>
    <w:p>
      <w:pPr>
        <w:pStyle w:val="FirstParagraph"/>
      </w:pPr>
      <w:r>
        <w:t xml:space="preserve">Scope 3 covers all other indirect emissions that occur in the value chain of oiqdzspeok, both upstream and downstream. Ensuring at least 95% coverage for Scope 3 reporting is a 2026 requirement, and this analysis aims to capture the most significant categories.</w:t>
      </w:r>
    </w:p>
    <w:bookmarkStart w:id="33" w:name="category-1-purchased-goods-and-services"/>
    <w:p>
      <w:pPr>
        <w:pStyle w:val="Heading4"/>
      </w:pPr>
      <w:r>
        <w:t xml:space="preserve">3.3.1. Category 1: Purchased Goods and Services</w:t>
      </w:r>
    </w:p>
    <w:p>
      <w:pPr>
        <w:pStyle w:val="FirstParagraph"/>
      </w:pPr>
      <w:r>
        <w:t xml:space="preserve">Emissions from the extraction, production, and manufacturing of raw materials and components as detailed in the Bill of Materials.</w:t>
      </w:r>
    </w:p>
    <w:p>
      <w:pPr>
        <w:pStyle w:val="BodyText"/>
      </w:pPr>
      <w:r>
        <w:rPr>
          <w:bCs/>
          <w:b/>
        </w:rPr>
        <w:t xml:space="preserve">Scope 3, Category 1 Emissions:</w:t>
      </w:r>
      <w:r>
        <w:t xml:space="preserve"> </w:t>
      </w:r>
      <w:r>
        <w:t xml:space="preserve">(Sum of "Total Carbon" from BOM table above) =</w:t>
      </w:r>
      <w:r>
        <w:t xml:space="preserve"> </w:t>
      </w:r>
      <w:r>
        <w:rPr>
          <w:bCs/>
          <w:b/>
        </w:rPr>
        <w:t xml:space="preserve">2.279 kgCO2e</w:t>
      </w:r>
    </w:p>
    <w:bookmarkEnd w:id="33"/>
    <w:bookmarkStart w:id="34" w:name="X6669a43143349c25ec93e775eebde43de53a73c"/>
    <w:p>
      <w:pPr>
        <w:pStyle w:val="Heading4"/>
      </w:pPr>
      <w:r>
        <w:t xml:space="preserve">3.3.2. Category 4: Upstream Transportation and Distribution</w:t>
      </w:r>
    </w:p>
    <w:p>
      <w:pPr>
        <w:pStyle w:val="FirstParagraph"/>
      </w:pPr>
      <w:r>
        <w:t xml:space="preserve">Emissions from the transportation of raw materials and components from suppliers to the production facility in China. Product weight for transport calculation is assumed to be 1.5 kg per functional unit (illustrative).</w:t>
      </w:r>
    </w:p>
    <w:p>
      <w:pPr>
        <w:numPr>
          <w:ilvl w:val="0"/>
          <w:numId w:val="1007"/>
        </w:numPr>
        <w:pStyle w:val="Compact"/>
      </w:pPr>
      <w:r>
        <w:t xml:space="preserve">Ocean Freight (Select Mode): 8000 km (tjzsdyftnm)</w:t>
      </w:r>
    </w:p>
    <w:p>
      <w:pPr>
        <w:numPr>
          <w:ilvl w:val="0"/>
          <w:numId w:val="1007"/>
        </w:numPr>
        <w:pStyle w:val="Compact"/>
      </w:pPr>
      <w:r>
        <w:t xml:space="preserve">Road Freight (Select Mode): 500 km (tjzsdyftnm)</w:t>
      </w:r>
    </w:p>
    <w:p>
      <w:pPr>
        <w:numPr>
          <w:ilvl w:val="0"/>
          <w:numId w:val="1007"/>
        </w:numPr>
        <w:pStyle w:val="Compact"/>
      </w:pPr>
      <w:r>
        <w:t xml:space="preserve">Ocean Freight Emission Factor: 0.016 kgCO2e/tonne-km</w:t>
      </w:r>
    </w:p>
    <w:p>
      <w:pPr>
        <w:numPr>
          <w:ilvl w:val="0"/>
          <w:numId w:val="1007"/>
        </w:numPr>
        <w:pStyle w:val="Compact"/>
      </w:pPr>
      <w:r>
        <w:t xml:space="preserve">Road Freight Emission Factor: 0.1 kgCO2e/tonne-km</w:t>
      </w:r>
    </w:p>
    <w:p>
      <w:pPr>
        <w:pStyle w:val="FirstParagraph"/>
      </w:pPr>
      <w:r>
        <w:rPr>
          <w:bCs/>
          <w:b/>
        </w:rPr>
        <w:t xml:space="preserve">Calculation:</w:t>
      </w:r>
    </w:p>
    <w:p>
      <w:pPr>
        <w:numPr>
          <w:ilvl w:val="0"/>
          <w:numId w:val="1008"/>
        </w:numPr>
        <w:pStyle w:val="Compact"/>
      </w:pPr>
      <w:r>
        <w:t xml:space="preserve">Ocean Freight: (1.5 kg / 1000) * 8000 km * 0.016 kgCO2e/tonne-km = 0.192 kgCO2e</w:t>
      </w:r>
    </w:p>
    <w:p>
      <w:pPr>
        <w:numPr>
          <w:ilvl w:val="0"/>
          <w:numId w:val="1008"/>
        </w:numPr>
        <w:pStyle w:val="Compact"/>
      </w:pPr>
      <w:r>
        <w:t xml:space="preserve">Road Freight: (1.5 kg / 1000) * 500 km * 0.1 kgCO2e/tonne-km = 0.075 kgCO2e</w:t>
      </w:r>
    </w:p>
    <w:p>
      <w:pPr>
        <w:pStyle w:val="FirstParagraph"/>
      </w:pPr>
      <w:r>
        <w:rPr>
          <w:bCs/>
          <w:b/>
        </w:rPr>
        <w:t xml:space="preserve">Scope 3, Category 4 Emissions:</w:t>
      </w:r>
      <w:r>
        <w:t xml:space="preserve"> </w:t>
      </w:r>
      <w:r>
        <w:t xml:space="preserve">0.192 + 0.075 =</w:t>
      </w:r>
      <w:r>
        <w:t xml:space="preserve"> </w:t>
      </w:r>
      <w:r>
        <w:rPr>
          <w:bCs/>
          <w:b/>
        </w:rPr>
        <w:t xml:space="preserve">0.267 kgCO2e</w:t>
      </w:r>
    </w:p>
    <w:bookmarkEnd w:id="34"/>
    <w:bookmarkStart w:id="35" w:name="Xe6a609cc71639c4bb5b5bcd247c776c9d89fa33"/>
    <w:p>
      <w:pPr>
        <w:pStyle w:val="Heading4"/>
      </w:pPr>
      <w:r>
        <w:t xml:space="preserve">3.3.3. Category 9: Downstream Transportation and Distribution (Last-Mile Delivery)</w:t>
      </w:r>
    </w:p>
    <w:p>
      <w:pPr>
        <w:pStyle w:val="FirstParagraph"/>
      </w:pPr>
      <w:r>
        <w:t xml:space="preserve">Emissions from the transport of the finished product to the end consumer via the specified Last-Mile Delivery Channel.</w:t>
      </w:r>
    </w:p>
    <w:p>
      <w:pPr>
        <w:numPr>
          <w:ilvl w:val="0"/>
          <w:numId w:val="1009"/>
        </w:numPr>
        <w:pStyle w:val="Compact"/>
      </w:pPr>
      <w:r>
        <w:t xml:space="preserve">Last-Mile Delivery Channel (Delivery Type): Parcel Delivery</w:t>
      </w:r>
    </w:p>
    <w:p>
      <w:pPr>
        <w:numPr>
          <w:ilvl w:val="0"/>
          <w:numId w:val="1009"/>
        </w:numPr>
        <w:pStyle w:val="Compact"/>
      </w:pPr>
      <w:r>
        <w:t xml:space="preserve">Illustrative Parcel Delivery Emission Factor: 0.2 kgCO2e/parcel</w:t>
      </w:r>
    </w:p>
    <w:p>
      <w:pPr>
        <w:pStyle w:val="FirstParagraph"/>
      </w:pPr>
      <w:r>
        <w:rPr>
          <w:bCs/>
          <w:b/>
        </w:rPr>
        <w:t xml:space="preserve">Scope 3, Category 9 Emissions:</w:t>
      </w:r>
      <w:r>
        <w:t xml:space="preserve"> </w:t>
      </w:r>
      <w:r>
        <w:rPr>
          <w:bCs/>
          <w:b/>
        </w:rPr>
        <w:t xml:space="preserve">0.200 kgCO2e</w:t>
      </w:r>
    </w:p>
    <w:bookmarkEnd w:id="35"/>
    <w:bookmarkStart w:id="36" w:name="category-11-use-of-sold-products"/>
    <w:p>
      <w:pPr>
        <w:pStyle w:val="Heading4"/>
      </w:pPr>
      <w:r>
        <w:t xml:space="preserve">3.3.4. Category 11: Use of Sold Products</w:t>
      </w:r>
    </w:p>
    <w:p>
      <w:pPr>
        <w:pStyle w:val="FirstParagraph"/>
      </w:pPr>
      <w:r>
        <w:t xml:space="preserve">Emissions from the energy consumed during the product\'s functional lifespan.</w:t>
      </w:r>
    </w:p>
    <w:p>
      <w:pPr>
        <w:numPr>
          <w:ilvl w:val="0"/>
          <w:numId w:val="1010"/>
        </w:numPr>
        <w:pStyle w:val="Compact"/>
      </w:pPr>
      <w:r>
        <w:t xml:space="preserve">Product Lifespan (tveqywgrhp): 5 years</w:t>
      </w:r>
    </w:p>
    <w:p>
      <w:pPr>
        <w:numPr>
          <w:ilvl w:val="0"/>
          <w:numId w:val="1010"/>
        </w:numPr>
        <w:pStyle w:val="Compact"/>
      </w:pPr>
      <w:r>
        <w:t xml:space="preserve">Energy Consumption in Use (lgxllkgvqn): 10 kWh/year</w:t>
      </w:r>
    </w:p>
    <w:p>
      <w:pPr>
        <w:numPr>
          <w:ilvl w:val="0"/>
          <w:numId w:val="1010"/>
        </w:numPr>
        <w:pStyle w:val="Compact"/>
      </w:pPr>
      <w:r>
        <w:t xml:space="preserve">Total Energy Consumption: 5 years * 10 kWh/year = 50 kWh</w:t>
      </w:r>
    </w:p>
    <w:p>
      <w:pPr>
        <w:numPr>
          <w:ilvl w:val="0"/>
          <w:numId w:val="1010"/>
        </w:numPr>
        <w:pStyle w:val="Compact"/>
      </w:pPr>
      <w:r>
        <w:t xml:space="preserve">Illustrative European Grid Emission Factor: 0.25 kgCO2e/kWh</w:t>
      </w:r>
    </w:p>
    <w:p>
      <w:pPr>
        <w:pStyle w:val="FirstParagraph"/>
      </w:pPr>
      <w:r>
        <w:rPr>
          <w:bCs/>
          <w:b/>
        </w:rPr>
        <w:t xml:space="preserve">Scope 3, Category 11 Emissions:</w:t>
      </w:r>
      <w:r>
        <w:t xml:space="preserve"> </w:t>
      </w:r>
      <w:r>
        <w:t xml:space="preserve">50 kWh * 0.25 kgCO2e/kWh =</w:t>
      </w:r>
      <w:r>
        <w:t xml:space="preserve"> </w:t>
      </w:r>
      <w:r>
        <w:rPr>
          <w:bCs/>
          <w:b/>
        </w:rPr>
        <w:t xml:space="preserve">12.500 kgCO2e</w:t>
      </w:r>
    </w:p>
    <w:bookmarkEnd w:id="36"/>
    <w:bookmarkStart w:id="37" w:name="X9f66eef2700632e081dfe139021cb724ffcd2c5"/>
    <w:p>
      <w:pPr>
        <w:pStyle w:val="Heading4"/>
      </w:pPr>
      <w:r>
        <w:t xml:space="preserve">3.3.5. Category 12: End-of-Life Treatment of Sold Products</w:t>
      </w:r>
    </w:p>
    <w:p>
      <w:pPr>
        <w:pStyle w:val="FirstParagraph"/>
      </w:pPr>
      <w:r>
        <w:t xml:space="preserve">Emissions (or avoided emissions) associated with the disposal and recycling of the product at the end of its life, reflecting circular economy impacts.</w:t>
      </w:r>
    </w:p>
    <w:p>
      <w:pPr>
        <w:numPr>
          <w:ilvl w:val="0"/>
          <w:numId w:val="1011"/>
        </w:numPr>
        <w:pStyle w:val="Compact"/>
      </w:pPr>
      <w:r>
        <w:t xml:space="preserve">Recyclability Percentage (todmvirevl): 70%</w:t>
      </w:r>
    </w:p>
    <w:p>
      <w:pPr>
        <w:numPr>
          <w:ilvl w:val="0"/>
          <w:numId w:val="1011"/>
        </w:numPr>
        <w:pStyle w:val="Compact"/>
      </w:pPr>
      <w:r>
        <w:t xml:space="preserve">Circular/Take-back Programs (esveitpfgj): Yes</w:t>
      </w:r>
    </w:p>
    <w:p>
      <w:pPr>
        <w:pStyle w:val="FirstParagraph"/>
      </w:pPr>
      <w:r>
        <w:t xml:space="preserve">Assuming the total material weight for EoL is approximately 0.33 kg (excluding PCB unit for simplicity in this illustrative example, focusing on raw materials).</w:t>
      </w:r>
    </w:p>
    <w:p>
      <w:pPr>
        <w:pStyle w:val="BodyText"/>
      </w:pPr>
      <w:r>
        <w:rPr>
          <w:bCs/>
          <w:b/>
        </w:rPr>
        <w:t xml:space="preserve">Calculation (Illustrative):</w:t>
      </w:r>
    </w:p>
    <w:p>
      <w:pPr>
        <w:numPr>
          <w:ilvl w:val="0"/>
          <w:numId w:val="1012"/>
        </w:numPr>
        <w:pStyle w:val="Compact"/>
      </w:pPr>
      <w:r>
        <w:t xml:space="preserve">Recycled Portion (70%): 0.70 * 0.33 kg = 0.231 kg. Assuming an avoided emission credit for recycling of -0.5 kgCO2e/kg (illustrative): 0.231 kg * -0.5 kgCO2e/kg = -0.1155 kgCO2e</w:t>
      </w:r>
    </w:p>
    <w:p>
      <w:pPr>
        <w:numPr>
          <w:ilvl w:val="0"/>
          <w:numId w:val="1012"/>
        </w:numPr>
        <w:pStyle w:val="Compact"/>
      </w:pPr>
      <w:r>
        <w:t xml:space="preserve">Disposed Portion (30%): 0.30 * 0.33 kg = 0.099 kg. Assuming disposal emissions of 1 kgCO2e/kg (illustrative): 0.099 kg * 1 kgCO2e/kg = 0.099 kgCO2e</w:t>
      </w:r>
    </w:p>
    <w:p>
      <w:pPr>
        <w:pStyle w:val="FirstParagraph"/>
      </w:pPr>
      <w:r>
        <w:rPr>
          <w:bCs/>
          <w:b/>
        </w:rPr>
        <w:t xml:space="preserve">Scope 3, Category 12 Emissions:</w:t>
      </w:r>
      <w:r>
        <w:t xml:space="preserve"> </w:t>
      </w:r>
      <w:r>
        <w:t xml:space="preserve">0.099 - 0.1155 =</w:t>
      </w:r>
      <w:r>
        <w:t xml:space="preserve"> </w:t>
      </w:r>
      <w:r>
        <w:rPr>
          <w:bCs/>
          <w:b/>
        </w:rPr>
        <w:t xml:space="preserve">-0.0165 kgCO2e</w:t>
      </w:r>
      <w:r>
        <w:t xml:space="preserve"> </w:t>
      </w:r>
      <w:r>
        <w:t xml:space="preserve">(Net avoided emissions due to high recyclability and circular programs)</w:t>
      </w:r>
    </w:p>
    <w:bookmarkEnd w:id="37"/>
    <w:bookmarkEnd w:id="38"/>
    <w:bookmarkStart w:id="39" w:name="X504f4a86e01fdcfa46a4589bb1b5e0cfaad8629"/>
    <w:p>
      <w:pPr>
        <w:pStyle w:val="Heading3"/>
      </w:pPr>
      <w:r>
        <w:t xml:space="preserve">3.4. 2026 Land Sector and Removals (LSR) Standard Update</w:t>
      </w:r>
    </w:p>
    <w:p>
      <w:pPr>
        <w:pStyle w:val="FirstParagraph"/>
      </w:pPr>
      <w:r>
        <w:t xml:space="preserve">The GHG Protocol\'s Land Sector and Removals (LSR) Standard, taking effect on January 1, 2027, sets requirements for corporate GHG accounting that cover emissions and carbon removals from agricultural and land use activities. It also provides guidance for reporting technological CO2 removals. This standard is particularly relevant for companies with significant land sector activities in their value chain, such as food or packaging. For tktdhlinhw, without specific land-use change data or bio-based material sourcing details, a full quantitative application of the LSR Standard is not possible within this report. However, its principles for transparently accounting for land-based emissions (e.g., land use change emissions, land management net biogenic CO2 emissions, biogenic product emissions) and removals are acknowledged. Future reports will integrate more granular data as per the LSR Guidance expected in Q2 2026.</w:t>
      </w:r>
    </w:p>
    <w:bookmarkEnd w:id="39"/>
    <w:bookmarkStart w:id="40" w:name="summary-of-product-carbon-footprint"/>
    <w:p>
      <w:pPr>
        <w:pStyle w:val="Heading3"/>
      </w:pPr>
      <w:r>
        <w:t xml:space="preserve">3.5. Summary of Product Carbon Footprint</w:t>
      </w:r>
    </w:p>
    <w:p>
      <w:pPr>
        <w:pStyle w:val="FirstParagraph"/>
      </w:pPr>
      <w:r>
        <w:t xml:space="preserve">The total Product Carbon Footprint for one functional unit of tktdhlinhw is summarized below:</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Scope/Category</w:t>
            </w:r>
          </w:p>
        </w:tc>
        <w:tc>
          <w:tcPr/>
          <w:p>
            <w:pPr>
              <w:pStyle w:val="Compact"/>
              <w:jc w:val="left"/>
            </w:pPr>
            <w:r>
              <w:t xml:space="preserve">Description</w:t>
            </w:r>
          </w:p>
        </w:tc>
        <w:tc>
          <w:tcPr/>
          <w:p>
            <w:pPr>
              <w:pStyle w:val="Compact"/>
              <w:jc w:val="left"/>
            </w:pPr>
            <w:r>
              <w:t xml:space="preserve">CO2e (kg)</w:t>
            </w:r>
          </w:p>
        </w:tc>
      </w:tr>
      <w:tr>
        <w:tc>
          <w:tcPr/>
          <w:p>
            <w:pPr>
              <w:pStyle w:val="Compact"/>
              <w:jc w:val="left"/>
            </w:pPr>
            <w:r>
              <w:t xml:space="preserve">Scope 1</w:t>
            </w:r>
          </w:p>
        </w:tc>
        <w:tc>
          <w:tcPr/>
          <w:p>
            <w:pPr>
              <w:pStyle w:val="Compact"/>
              <w:jc w:val="left"/>
            </w:pPr>
            <w:r>
              <w:t xml:space="preserve">Direct Emissions</w:t>
            </w:r>
          </w:p>
        </w:tc>
        <w:tc>
          <w:tcPr/>
          <w:p>
            <w:pPr>
              <w:pStyle w:val="Compact"/>
              <w:jc w:val="left"/>
            </w:pPr>
            <w:r>
              <w:t xml:space="preserve">0.000</w:t>
            </w:r>
          </w:p>
        </w:tc>
      </w:tr>
      <w:tr>
        <w:tc>
          <w:tcPr/>
          <w:p>
            <w:pPr>
              <w:pStyle w:val="Compact"/>
              <w:jc w:val="left"/>
            </w:pPr>
            <w:r>
              <w:t xml:space="preserve">Scope 2</w:t>
            </w:r>
          </w:p>
        </w:tc>
        <w:tc>
          <w:tcPr/>
          <w:p>
            <w:pPr>
              <w:pStyle w:val="Compact"/>
              <w:jc w:val="left"/>
            </w:pPr>
            <w:r>
              <w:t xml:space="preserve">Purchased Electricity (Production)</w:t>
            </w:r>
          </w:p>
        </w:tc>
        <w:tc>
          <w:tcPr/>
          <w:p>
            <w:pPr>
              <w:pStyle w:val="Compact"/>
              <w:jc w:val="left"/>
            </w:pPr>
            <w:r>
              <w:t xml:space="preserve">1.946</w:t>
            </w:r>
          </w:p>
        </w:tc>
      </w:tr>
      <w:tr>
        <w:tc>
          <w:tcPr/>
          <w:p>
            <w:pPr>
              <w:pStyle w:val="Compact"/>
              <w:jc w:val="left"/>
            </w:pPr>
            <w:r>
              <w:t xml:space="preserve">Scope 3, Category 1</w:t>
            </w:r>
          </w:p>
        </w:tc>
        <w:tc>
          <w:tcPr/>
          <w:p>
            <w:pPr>
              <w:pStyle w:val="Compact"/>
              <w:jc w:val="left"/>
            </w:pPr>
            <w:r>
              <w:t xml:space="preserve">Purchased Goods and Services (Materials)</w:t>
            </w:r>
          </w:p>
        </w:tc>
        <w:tc>
          <w:tcPr/>
          <w:p>
            <w:pPr>
              <w:pStyle w:val="Compact"/>
              <w:jc w:val="left"/>
            </w:pPr>
            <w:r>
              <w:t xml:space="preserve">2.279</w:t>
            </w:r>
          </w:p>
        </w:tc>
      </w:tr>
      <w:tr>
        <w:tc>
          <w:tcPr/>
          <w:p>
            <w:pPr>
              <w:pStyle w:val="Compact"/>
              <w:jc w:val="left"/>
            </w:pPr>
            <w:r>
              <w:t xml:space="preserve">Scope 3, Category 4</w:t>
            </w:r>
          </w:p>
        </w:tc>
        <w:tc>
          <w:tcPr/>
          <w:p>
            <w:pPr>
              <w:pStyle w:val="Compact"/>
              <w:jc w:val="left"/>
            </w:pPr>
            <w:r>
              <w:t xml:space="preserve">Upstream Transportation and Distribution</w:t>
            </w:r>
          </w:p>
        </w:tc>
        <w:tc>
          <w:tcPr/>
          <w:p>
            <w:pPr>
              <w:pStyle w:val="Compact"/>
              <w:jc w:val="left"/>
            </w:pPr>
            <w:r>
              <w:t xml:space="preserve">0.267</w:t>
            </w:r>
          </w:p>
        </w:tc>
      </w:tr>
      <w:tr>
        <w:tc>
          <w:tcPr/>
          <w:p>
            <w:pPr>
              <w:pStyle w:val="Compact"/>
              <w:jc w:val="left"/>
            </w:pPr>
            <w:r>
              <w:t xml:space="preserve">Scope 3, Category 9</w:t>
            </w:r>
          </w:p>
        </w:tc>
        <w:tc>
          <w:tcPr/>
          <w:p>
            <w:pPr>
              <w:pStyle w:val="Compact"/>
              <w:jc w:val="left"/>
            </w:pPr>
            <w:r>
              <w:t xml:space="preserve">Downstream Transportation and Distribution (Last-Mile)</w:t>
            </w:r>
          </w:p>
        </w:tc>
        <w:tc>
          <w:tcPr/>
          <w:p>
            <w:pPr>
              <w:pStyle w:val="Compact"/>
              <w:jc w:val="left"/>
            </w:pPr>
            <w:r>
              <w:t xml:space="preserve">0.200</w:t>
            </w:r>
          </w:p>
        </w:tc>
      </w:tr>
      <w:tr>
        <w:tc>
          <w:tcPr/>
          <w:p>
            <w:pPr>
              <w:pStyle w:val="Compact"/>
              <w:jc w:val="left"/>
            </w:pPr>
            <w:r>
              <w:t xml:space="preserve">Scope 3, Category 11</w:t>
            </w:r>
          </w:p>
        </w:tc>
        <w:tc>
          <w:tcPr/>
          <w:p>
            <w:pPr>
              <w:pStyle w:val="Compact"/>
              <w:jc w:val="left"/>
            </w:pPr>
            <w:r>
              <w:t xml:space="preserve">Use of Sold Products</w:t>
            </w:r>
          </w:p>
        </w:tc>
        <w:tc>
          <w:tcPr/>
          <w:p>
            <w:pPr>
              <w:pStyle w:val="Compact"/>
              <w:jc w:val="left"/>
            </w:pPr>
            <w:r>
              <w:t xml:space="preserve">12.500</w:t>
            </w:r>
          </w:p>
        </w:tc>
      </w:tr>
      <w:tr>
        <w:tc>
          <w:tcPr/>
          <w:p>
            <w:pPr>
              <w:pStyle w:val="Compact"/>
              <w:jc w:val="left"/>
            </w:pPr>
            <w:r>
              <w:t xml:space="preserve">Scope 3, Category 12</w:t>
            </w:r>
          </w:p>
        </w:tc>
        <w:tc>
          <w:tcPr/>
          <w:p>
            <w:pPr>
              <w:pStyle w:val="Compact"/>
              <w:jc w:val="left"/>
            </w:pPr>
            <w:r>
              <w:t xml:space="preserve">End-of-Life Treatment of Sold Products</w:t>
            </w:r>
          </w:p>
        </w:tc>
        <w:tc>
          <w:tcPr/>
          <w:p>
            <w:pPr>
              <w:pStyle w:val="Compact"/>
              <w:jc w:val="left"/>
            </w:pPr>
            <w:r>
              <w:t xml:space="preserve">-0.0165</w:t>
            </w:r>
          </w:p>
        </w:tc>
      </w:tr>
      <w:tr>
        <w:tc>
          <w:tcPr>
            <w:gridSpan w:val="2"/>
          </w:tcPr>
          <w:p>
            <w:pPr>
              <w:pStyle w:val="Compact"/>
              <w:jc w:val="left"/>
            </w:pPr>
            <w:r>
              <w:rPr>
                <w:bCs/>
                <w:b/>
              </w:rPr>
              <w:t xml:space="preserve">Total Product Carbon Footprint (PCF) for 1.0 unit of tktdhlinhw</w:t>
            </w:r>
          </w:p>
        </w:tc>
        <w:tc>
          <w:tcPr/>
          <w:p>
            <w:pPr>
              <w:pStyle w:val="Compact"/>
              <w:jc w:val="left"/>
            </w:pPr>
            <w:r>
              <w:rPr>
                <w:bCs/>
                <w:b/>
              </w:rPr>
              <w:t xml:space="preserve">17.176</w:t>
            </w:r>
          </w:p>
        </w:tc>
      </w:tr>
    </w:tbl>
    <w:p>
      <w:r>
        <w:pict>
          <v:rect style="width:0;height:1.5pt" o:hralign="center" o:hrstd="t" o:hr="t"/>
        </w:pict>
      </w:r>
    </w:p>
    <w:bookmarkEnd w:id="40"/>
    <w:bookmarkEnd w:id="41"/>
    <w:bookmarkStart w:id="44" w:name="review-reporting"/>
    <w:p>
      <w:pPr>
        <w:pStyle w:val="Heading2"/>
      </w:pPr>
      <w:r>
        <w:t xml:space="preserve">4. Review &amp; Reporting</w:t>
      </w:r>
    </w:p>
    <w:bookmarkStart w:id="42" w:name="emission-hotspots-identification"/>
    <w:p>
      <w:pPr>
        <w:pStyle w:val="Heading3"/>
      </w:pPr>
      <w:r>
        <w:t xml:space="preserve">4.1. Emission Hotspots Identification</w:t>
      </w:r>
    </w:p>
    <w:p>
      <w:pPr>
        <w:pStyle w:val="FirstParagraph"/>
      </w:pPr>
      <w:r>
        <w:t xml:space="preserve">Based on the current analysis, the most significant emission hotspots for tktdhlinhw are:</w:t>
      </w:r>
    </w:p>
    <w:p>
      <w:pPr>
        <w:numPr>
          <w:ilvl w:val="0"/>
          <w:numId w:val="1013"/>
        </w:numPr>
        <w:pStyle w:val="Compact"/>
      </w:pPr>
      <w:r>
        <w:rPr>
          <w:bCs/>
          <w:b/>
        </w:rPr>
        <w:t xml:space="preserve">Use Phase (Scope 3, Category 11):</w:t>
      </w:r>
      <w:r>
        <w:t xml:space="preserve"> </w:t>
      </w:r>
      <w:r>
        <w:t xml:space="preserve">Accounting for approximately 72.8% of the total PCF, the energy consumption during the product\'s lifespan is the dominant contributor. This highlights a critical area for reduction efforts, such as improving energy efficiency or promoting renewable energy use by end-consumers.</w:t>
      </w:r>
    </w:p>
    <w:p>
      <w:pPr>
        <w:numPr>
          <w:ilvl w:val="0"/>
          <w:numId w:val="1013"/>
        </w:numPr>
        <w:pStyle w:val="Compact"/>
      </w:pPr>
      <w:r>
        <w:rPr>
          <w:bCs/>
          <w:b/>
        </w:rPr>
        <w:t xml:space="preserve">Purchased Goods and Services (Scope 3, Category 1):</w:t>
      </w:r>
      <w:r>
        <w:t xml:space="preserve"> </w:t>
      </w:r>
      <w:r>
        <w:t xml:space="preserve">Material production contributes approximately 13.3% of the total PCF. The Aluminum Casing and Lithium-ion Battery are notable contributors within this category, suggesting opportunities for material optimization, use of recycled content, or lower-carbon alternatives.</w:t>
      </w:r>
    </w:p>
    <w:p>
      <w:pPr>
        <w:numPr>
          <w:ilvl w:val="0"/>
          <w:numId w:val="1013"/>
        </w:numPr>
        <w:pStyle w:val="Compact"/>
      </w:pPr>
      <w:r>
        <w:rPr>
          <w:bCs/>
          <w:b/>
        </w:rPr>
        <w:t xml:space="preserve">Purchased Energy (Scope 2):</w:t>
      </w:r>
      <w:r>
        <w:t xml:space="preserve"> </w:t>
      </w:r>
      <w:r>
        <w:t xml:space="preserve">Production energy accounts for about 11.3% of the total PCF. While renewable energy usage helps mitigate this, further increasing renewable energy procurement or improving manufacturing process efficiency in China would reduce this impact.</w:t>
      </w:r>
    </w:p>
    <w:bookmarkEnd w:id="42"/>
    <w:bookmarkStart w:id="43" w:name="reliability-and-data-limitations"/>
    <w:p>
      <w:pPr>
        <w:pStyle w:val="Heading3"/>
      </w:pPr>
      <w:r>
        <w:t xml:space="preserve">4.2. Reliability and Data Limitations</w:t>
      </w:r>
    </w:p>
    <w:p>
      <w:pPr>
        <w:pStyle w:val="FirstParagraph"/>
      </w:pPr>
      <w:r>
        <w:t xml:space="preserve">The reliability of this PCF analysis is high due to the application of the GHG Protocol and the integration of specific product parameters. However, certain limitations exist:</w:t>
      </w:r>
    </w:p>
    <w:p>
      <w:pPr>
        <w:numPr>
          <w:ilvl w:val="0"/>
          <w:numId w:val="1014"/>
        </w:numPr>
        <w:pStyle w:val="Compact"/>
      </w:pPr>
      <w:r>
        <w:rPr>
          <w:bCs/>
          <w:b/>
        </w:rPr>
        <w:t xml:space="preserve">Illustrative Emission Factors:</w:t>
      </w:r>
      <w:r>
        <w:t xml:space="preserve"> </w:t>
      </w:r>
      <w:r>
        <w:t xml:space="preserve">While industry-standard emission factors (e.g., Ecoinvent/DEFRA) were referenced, the precise values used for materials, processes, and transport in the calculations are illustrative due to the placeholder nature of some input parameters (e.g.,</w:t>
      </w:r>
      <w:r>
        <w:t xml:space="preserve"> </w:t>
      </w:r>
      <w:r>
        <w:rPr>
          <w:rStyle w:val="VerbatimChar"/>
        </w:rPr>
        <w:t xml:space="preserve">zrmkpimn</w:t>
      </w:r>
      <w:r>
        <w:t xml:space="preserve">,</w:t>
      </w:r>
      <w:r>
        <w:t xml:space="preserve"> </w:t>
      </w:r>
      <w:r>
        <w:rPr>
          <w:rStyle w:val="VerbatimChar"/>
        </w:rPr>
        <w:t xml:space="preserve">tjzsdyftnm</w:t>
      </w:r>
      <w:r>
        <w:t xml:space="preserve">). For a fully verified report, direct access to licensed database factors and supplier-specific data would be essential.</w:t>
      </w:r>
    </w:p>
    <w:p>
      <w:pPr>
        <w:numPr>
          <w:ilvl w:val="0"/>
          <w:numId w:val="1014"/>
        </w:numPr>
        <w:pStyle w:val="Compact"/>
      </w:pPr>
      <w:r>
        <w:rPr>
          <w:bCs/>
          <w:b/>
        </w:rPr>
        <w:t xml:space="preserve">Placeholder Parameters:</w:t>
      </w:r>
      <w:r>
        <w:t xml:space="preserve"> </w:t>
      </w:r>
      <w:r>
        <w:t xml:space="preserve">The analysis utilizes the provided placeholder strings (e.g., `Select Mode`, `Delivery Type`, `tjzsdyftnm`, `tqzzhzrwdx`, `gekivkuzix`, `tveqywgrhp`, `lgxllkgvqn`, `todmvirevl`, `esveitpfgj`) as described. For a real-world scenario, precise numerical and descriptive data for these parameters would enhance accuracy.</w:t>
      </w:r>
    </w:p>
    <w:p>
      <w:pPr>
        <w:numPr>
          <w:ilvl w:val="0"/>
          <w:numId w:val="1014"/>
        </w:numPr>
        <w:pStyle w:val="Compact"/>
      </w:pPr>
      <w:r>
        <w:rPr>
          <w:bCs/>
          <w:b/>
        </w:rPr>
        <w:t xml:space="preserve">LSR Standard Application:</w:t>
      </w:r>
      <w:r>
        <w:t xml:space="preserve"> </w:t>
      </w:r>
      <w:r>
        <w:t xml:space="preserve">The 2026 LSR Standard is acknowledged, but a full quantitative assessment requires detailed land-use data which was not provided. Its principles are discussed, but specific calculations for land-based emissions and removals are not included.</w:t>
      </w:r>
    </w:p>
    <w:p>
      <w:pPr>
        <w:numPr>
          <w:ilvl w:val="0"/>
          <w:numId w:val="1014"/>
        </w:numPr>
        <w:pStyle w:val="Compact"/>
      </w:pPr>
      <w:r>
        <w:rPr>
          <w:bCs/>
          <w:b/>
        </w:rPr>
        <w:t xml:space="preserve">Scope 3 Coverage:</w:t>
      </w:r>
      <w:r>
        <w:t xml:space="preserve"> </w:t>
      </w:r>
      <w:r>
        <w:t xml:space="preserve">While key Scope 3 categories are included, achieving absolute 100% coverage can be challenging due to data availability across complex value chains. The aim for 95% coverage is a robust target in line with emerging requirements.</w:t>
      </w:r>
    </w:p>
    <w:p>
      <w:pPr>
        <w:pStyle w:val="FirstParagraph"/>
      </w:pPr>
      <w:r>
        <w:t xml:space="preserve">This report provides a solid foundation for understanding the carbon footprint of tktdhlinhw. Future efforts should focus on collecting more primary data for emission factors and activity data, especially from suppliers, to further enhance accuracy and identify more targeted reduction strategies.</w:t>
      </w:r>
    </w:p>
    <w:p>
      <w:r>
        <w:pict>
          <v:rect style="width:0;height:1.5pt" o:hralign="center" o:hrstd="t" o:hr="t"/>
        </w:pict>
      </w:r>
    </w:p>
    <w:p>
      <w:pPr>
        <w:pStyle w:val="FirstParagraph"/>
      </w:pPr>
      <w:r>
        <w:t xml:space="preserve">Confidential - Internal Use Only</w:t>
      </w:r>
    </w:p>
    <w:bookmarkEnd w:id="43"/>
    <w:bookmarkEnd w:id="44"/>
    <w:bookmarkEnd w:id="4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tktdhlinhw</dc:title>
  <dc:creator/>
  <dc:description>High-detail Product Carbon Footprint (PCF) analysis for product tktdhlinhw by oiqdzspeok, adhering to GHG Protocol and 2026 LSR update, performed by Senior Sustainability Consultant ekrfqxjpqq.</dc:description>
  <dc:language>en</dc:language>
  <cp:keywords/>
  <dcterms:created xsi:type="dcterms:W3CDTF">2026-05-30T13:39:13Z</dcterms:created>
  <dcterms:modified xsi:type="dcterms:W3CDTF">2026-05-30T13:39:13Z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