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tkjifllwti</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rPr>
          <w:bCs/>
          <w:b/>
        </w:rPr>
        <w:t xml:space="preserve">Product:</w:t>
      </w:r>
      <w:r>
        <w:t xml:space="preserve"> </w:t>
      </w:r>
      <w:r>
        <w:t xml:space="preserve">tkjifllwti</w:t>
      </w:r>
    </w:p>
    <w:p>
      <w:pPr>
        <w:pStyle w:val="BodyText"/>
      </w:pPr>
      <w:r>
        <w:rPr>
          <w:bCs/>
          <w:b/>
        </w:rPr>
        <w:t xml:space="preserve">Company Name:</w:t>
      </w:r>
      <w:r>
        <w:t xml:space="preserve"> </w:t>
      </w:r>
      <w:r>
        <w:t xml:space="preserve">kjwexzkvts</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tzfowdmyqs</w:t>
      </w:r>
    </w:p>
    <w:p>
      <w:pPr>
        <w:pStyle w:val="BodyText"/>
      </w:pPr>
      <w:r>
        <w:t xml:space="preserve">This report is generated based on available data and industry standards. While every effort has been made to ensure accuracy, estimations are inherent in PCF analysis.</w:t>
      </w:r>
    </w:p>
    <w:bookmarkEnd w:id="20"/>
    <w:bookmarkStart w:id="21" w:name="product-carbon-footprint-report"/>
    <w:p>
      <w:pPr>
        <w:pStyle w:val="Heading1"/>
      </w:pPr>
      <w:r>
        <w:t xml:space="preserve">Product Carbon Footprint Report</w:t>
      </w:r>
    </w:p>
    <w:p>
      <w:pPr>
        <w:pStyle w:val="FirstParagraph"/>
      </w:pPr>
      <w:r>
        <w:t xml:space="preserve">Generated Date: May 20, 2026</w:t>
      </w:r>
    </w:p>
    <w:bookmarkEnd w:id="21"/>
    <w:bookmarkStart w:id="22" w:name="executive-summary"/>
    <w:p>
      <w:pPr>
        <w:pStyle w:val="Heading2"/>
      </w:pPr>
      <w:r>
        <w:t xml:space="preserve">1. Executive Summary</w:t>
      </w:r>
    </w:p>
    <w:p>
      <w:pPr>
        <w:pStyle w:val="FirstParagraph"/>
      </w:pPr>
      <w:r>
        <w:t xml:space="preserve">This report presents a high-detail Product Carbon Footprint (PCF) analysis for the product \'tkjifllwti\', manufactured by \'kjwexzkvts\'. Performed by Senior Sustainability Consultant \'tzfowdmyqs\', this analysis adheres strictly to the GHG Protocol standards, including the 2026 Land Sector and Removals (LSR) update, and aims for at least 95% Scope 3 coverage. The functional unit for this study is 1.0 unit of \'tkjifllwti\'. The total cradle-to-grave PCF for \'tkjifllwti\' is calculated to be</w:t>
      </w:r>
      <w:r>
        <w:t xml:space="preserve"> </w:t>
      </w:r>
      <w:r>
        <w:rPr>
          <w:bCs/>
          <w:b/>
        </w:rPr>
        <w:t xml:space="preserve">19.52 kgCO2e</w:t>
      </w:r>
      <w:r>
        <w:t xml:space="preserve">. Key emission hotspots identified include the product\'s use phase, material acquisition, and manufacturing energy consumption. Opportunities for reduction exist across the lifecycle, particularly in enhancing energy efficiency, increasing renewable energy adoption, and maximizing circularity initiatives.</w:t>
      </w:r>
    </w:p>
    <w:p>
      <w:r>
        <w:pict>
          <v:rect style="width:0;height:1.5pt" o:hralign="center" o:hrstd="t" o:hr="t"/>
        </w:pict>
      </w:r>
    </w:p>
    <w:bookmarkEnd w:id="22"/>
    <w:bookmarkStart w:id="30" w:name="methodology"/>
    <w:p>
      <w:pPr>
        <w:pStyle w:val="Heading2"/>
      </w:pPr>
      <w:r>
        <w:t xml:space="preserve">2. Methodology</w:t>
      </w:r>
    </w:p>
    <w:p>
      <w:pPr>
        <w:pStyle w:val="FirstParagraph"/>
      </w:pPr>
      <w:r>
        <w:t xml:space="preserve">The Product Carbon Footprint (PCF) analysis for \'tkjifllwti\' follows a comprehensive methodology aligned with the GHG Protocol\'s Product Life Cycle Accounting and Reporting Standard. The process involves five key steps to ensure a robust and transparent assessment.</w:t>
      </w:r>
    </w:p>
    <w:bookmarkStart w:id="23"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tkjifllwti. This represents the reference unit to which all inputs and outputs are normalized, ensuring comparability.</w:t>
      </w:r>
    </w:p>
    <w:p>
      <w:pPr>
        <w:numPr>
          <w:ilvl w:val="0"/>
          <w:numId w:val="1001"/>
        </w:numPr>
        <w:pStyle w:val="Compact"/>
      </w:pPr>
      <w:r>
        <w:rPr>
          <w:bCs/>
          <w:b/>
        </w:rPr>
        <w:t xml:space="preserve">System Boundary:</w:t>
      </w:r>
      <w:r>
        <w:t xml:space="preserve"> </w:t>
      </w:r>
      <w:r>
        <w:t xml:space="preserve">The analysis adopts a "Cradle-to-Grave" approach, encompassing all life cycle stages from raw material extraction (Cradle) through manufacturing, distribution, use, and end-of-life (Grave). For the production phase specifically, a "factory_gate" perspective is applied, accounting for emissions up to the point the product leaves the final production facility in China.</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This implies that upstream materials and components are largely sourced or processed in Europe before being transported to China for final assembly. Downstream distribution and use phase are primarily assumed to be within Europe.</w:t>
      </w:r>
    </w:p>
    <w:p>
      <w:pPr>
        <w:numPr>
          <w:ilvl w:val="0"/>
          <w:numId w:val="1001"/>
        </w:numPr>
        <w:pStyle w:val="Compact"/>
      </w:pPr>
      <w:r>
        <w:rPr>
          <w:bCs/>
          <w:b/>
        </w:rPr>
        <w:t xml:space="preserve">Allocation:</w:t>
      </w:r>
      <w:r>
        <w:t xml:space="preserve"> </w:t>
      </w:r>
      <w:r>
        <w:t xml:space="preserve">Emissions are allocated based on mass for materials and energy consumption during production and use. For end-of-life, an avoided burden approach is used for recycled materials.</w:t>
      </w:r>
    </w:p>
    <w:bookmarkEnd w:id="23"/>
    <w:bookmarkStart w:id="29" w:name="X07a1e5013417f474786ee5272d1ac84eaeb36ed"/>
    <w:p>
      <w:pPr>
        <w:pStyle w:val="Heading3"/>
      </w:pPr>
      <w:r>
        <w:t xml:space="preserve">2.2. Map Lifecycle (LCI Inventory Stages) &amp; 2.3. Collect Data (Primary/Secondary Data Points)</w:t>
      </w:r>
    </w:p>
    <w:p>
      <w:pPr>
        <w:pStyle w:val="FirstParagraph"/>
      </w:pPr>
      <w:r>
        <w:t xml:space="preserve">A detailed breakdown of materials and energy inputs across the product\'s lifecycle was conducted. This involved collecting both primary data (where specified, e.g., BOM) and secondary data (industry-standard emission factors for general processes and transport).</w:t>
      </w:r>
    </w:p>
    <w:bookmarkStart w:id="24" w:name="material-inputs-bill-of-materials---bom"/>
    <w:p>
      <w:pPr>
        <w:pStyle w:val="Heading4"/>
      </w:pPr>
      <w:r>
        <w:t xml:space="preserve">Material Inputs (Bill of Materials - BOM)</w:t>
      </w:r>
    </w:p>
    <w:p>
      <w:pPr>
        <w:pStyle w:val="FirstParagraph"/>
      </w:pPr>
      <w:r>
        <w:t xml:space="preserve">The following Bill of Materials (BOM) for \'tkjifllwti\' was utilized to calculate the impact of material acquisition and processing. The \'Total Carbon\' values provided in the BOM are directly incorporated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w:t>
            </w:r>
          </w:p>
        </w:tc>
        <w:tc>
          <w:tcPr/>
          <w:p>
            <w:pPr>
              <w:pStyle w:val="Compact"/>
              <w:jc w:val="left"/>
            </w:pPr>
            <w:r>
              <w:t xml:space="preserve">Total Carbon</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0.50</w:t>
            </w:r>
          </w:p>
        </w:tc>
        <w:tc>
          <w:tcPr/>
          <w:p>
            <w:pPr>
              <w:pStyle w:val="Compact"/>
              <w:jc w:val="left"/>
            </w:pPr>
            <w:r>
              <w:t xml:space="preserve">kg</w:t>
            </w:r>
          </w:p>
        </w:tc>
        <w:tc>
          <w:tcPr/>
          <w:p>
            <w:pPr>
              <w:pStyle w:val="Compact"/>
              <w:jc w:val="left"/>
            </w:pPr>
            <w:r>
              <w:t xml:space="preserve">7.00</w:t>
            </w:r>
          </w:p>
        </w:tc>
        <w:tc>
          <w:tcPr/>
          <w:p>
            <w:pPr>
              <w:pStyle w:val="Compact"/>
              <w:jc w:val="left"/>
            </w:pPr>
            <w:r>
              <w:t xml:space="preserve">3.50 kgCO2e</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2.50</w:t>
            </w:r>
          </w:p>
        </w:tc>
        <w:tc>
          <w:tcPr/>
          <w:p>
            <w:pPr>
              <w:pStyle w:val="Compact"/>
              <w:jc w:val="left"/>
            </w:pPr>
            <w:r>
              <w:t xml:space="preserve">0.50 kgCO2e</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0.10</w:t>
            </w:r>
          </w:p>
        </w:tc>
        <w:tc>
          <w:tcPr/>
          <w:p>
            <w:pPr>
              <w:pStyle w:val="Compact"/>
              <w:jc w:val="left"/>
            </w:pPr>
            <w:r>
              <w:t xml:space="preserve">unit</w:t>
            </w:r>
          </w:p>
        </w:tc>
        <w:tc>
          <w:tcPr/>
          <w:p>
            <w:pPr>
              <w:pStyle w:val="Compact"/>
              <w:jc w:val="left"/>
            </w:pPr>
            <w:r>
              <w:t xml:space="preserve">15.00</w:t>
            </w:r>
          </w:p>
        </w:tc>
        <w:tc>
          <w:tcPr/>
          <w:p>
            <w:pPr>
              <w:pStyle w:val="Compact"/>
              <w:jc w:val="left"/>
            </w:pPr>
            <w:r>
              <w:t xml:space="preserve">1.50 kgCO2e</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3.00</w:t>
            </w:r>
          </w:p>
        </w:tc>
        <w:tc>
          <w:tcPr/>
          <w:p>
            <w:pPr>
              <w:pStyle w:val="Compact"/>
              <w:jc w:val="left"/>
            </w:pPr>
            <w:r>
              <w:t xml:space="preserve">0.15 kgCO2e</w:t>
            </w:r>
          </w:p>
        </w:tc>
      </w:tr>
    </w:tbl>
    <w:p>
      <w:pPr>
        <w:pStyle w:val="BodyText"/>
      </w:pPr>
      <w:r>
        <w:rPr>
          <w:iCs/>
          <w:i/>
        </w:rPr>
        <w:t xml:space="preserve">Note: The total physical weight for transport calculations is assumed to be 0.75 kg, summing the \'kg\' units in the BOM (Aluminum, Plastic, Copper). The circuit board\'s weight is considered implicitly within its \'Total Carbon\' for material impact but is excluded from bulk transport weight calculation for simplicity.</w:t>
      </w:r>
    </w:p>
    <w:bookmarkEnd w:id="24"/>
    <w:bookmarkStart w:id="25" w:name="energy-inputs-production-phase"/>
    <w:p>
      <w:pPr>
        <w:pStyle w:val="Heading4"/>
      </w:pPr>
      <w:r>
        <w:t xml:space="preserve">Energy Inputs (Production Phase)</w:t>
      </w:r>
    </w:p>
    <w:p>
      <w:pPr>
        <w:pStyle w:val="FirstParagraph"/>
      </w:pPr>
      <w:r>
        <w:t xml:space="preserve">Energy consumption during the production phase in China utilized the following parameters:</w:t>
      </w:r>
    </w:p>
    <w:tbl>
      <w:tblPr>
        <w:tblStyle w:val="Table"/>
        <w:tblW w:type="auto" w:w="0"/>
        <w:tblLook w:firstRow="1" w:lastRow="0"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c>
          <w:tcPr/>
          <w:p>
            <w:pPr>
              <w:pStyle w:val="Compact"/>
              <w:jc w:val="left"/>
            </w:pPr>
            <w:r>
              <w:t xml:space="preserve">Notes</w:t>
            </w:r>
          </w:p>
        </w:tc>
        <w:tc>
          <w:tcPr/>
          <w:p>
            <w:pPr>
              <w:pStyle w:val="Compact"/>
              <w:jc w:val="left"/>
            </w:pPr>
            <w:r>
              <w:t xml:space="preserve">Emission Factor (Illustrative)</w:t>
            </w:r>
          </w:p>
        </w:tc>
        <w:tc>
          <w:tcPr/>
          <w:p>
            <w:pPr>
              <w:pStyle w:val="Compact"/>
              <w:jc w:val="left"/>
            </w:pPr>
            <w:r>
              <w:t xml:space="preserve">Unit of EF</w:t>
            </w:r>
          </w:p>
        </w:tc>
      </w:tr>
      <w:tr>
        <w:tc>
          <w:tcPr/>
          <w:p>
            <w:pPr>
              <w:pStyle w:val="Compact"/>
              <w:jc w:val="left"/>
            </w:pPr>
            <w:r>
              <w:t xml:space="preserve">Total Energy Intensity</w:t>
            </w:r>
          </w:p>
        </w:tc>
        <w:tc>
          <w:tcPr/>
          <w:p>
            <w:pPr>
              <w:pStyle w:val="Compact"/>
              <w:jc w:val="left"/>
            </w:pPr>
            <w:r>
              <w:t xml:space="preserve">5.00</w:t>
            </w:r>
          </w:p>
        </w:tc>
        <w:tc>
          <w:tcPr/>
          <w:p>
            <w:pPr>
              <w:pStyle w:val="Compact"/>
              <w:jc w:val="left"/>
            </w:pPr>
            <w:r>
              <w:t xml:space="preserve">kWh/unit</w:t>
            </w:r>
          </w:p>
        </w:tc>
        <w:tc>
          <w:tcPr/>
          <w:p>
            <w:pPr>
              <w:pStyle w:val="Compact"/>
              <w:jc w:val="left"/>
            </w:pPr>
            <w:r>
              <w:t xml:space="preserve">Provided parameter</w:t>
            </w:r>
          </w:p>
        </w:tc>
        <w:tc>
          <w:tcPr/>
          <w:p>
            <w:pPr>
              <w:pStyle w:val="Compact"/>
              <w:jc w:val="left"/>
            </w:pPr>
            <w:r>
              <w:t xml:space="preserve">N/A</w:t>
            </w:r>
          </w:p>
        </w:tc>
        <w:tc>
          <w:tcPr/>
          <w:p>
            <w:pPr>
              <w:pStyle w:val="Compact"/>
              <w:jc w:val="left"/>
            </w:pPr>
            <w:r>
              <w:t xml:space="preserve">N/A</w:t>
            </w:r>
          </w:p>
        </w:tc>
      </w:tr>
      <w:tr>
        <w:tc>
          <w:tcPr/>
          <w:p>
            <w:pPr>
              <w:pStyle w:val="Compact"/>
              <w:jc w:val="left"/>
            </w:pPr>
            <w:r>
              <w:t xml:space="preserve">Renewable Energy Usage</w:t>
            </w:r>
          </w:p>
        </w:tc>
        <w:tc>
          <w:tcPr/>
          <w:p>
            <w:pPr>
              <w:pStyle w:val="Compact"/>
              <w:jc w:val="left"/>
            </w:pPr>
            <w:r>
              <w:t xml:space="preserve">60%</w:t>
            </w:r>
          </w:p>
        </w:tc>
        <w:tc>
          <w:tcPr/>
          <w:p>
            <w:pPr>
              <w:pStyle w:val="Compact"/>
              <w:jc w:val="left"/>
            </w:pPr>
            <w:r>
              <w:t xml:space="preserve">%</w:t>
            </w:r>
          </w:p>
        </w:tc>
        <w:tc>
          <w:tcPr/>
          <w:p>
            <w:pPr>
              <w:pStyle w:val="Compact"/>
              <w:jc w:val="left"/>
            </w:pPr>
            <w:r>
              <w:t xml:space="preserve">Provided parameter</w:t>
            </w:r>
          </w:p>
        </w:tc>
        <w:tc>
          <w:tcPr/>
          <w:p>
            <w:pPr>
              <w:pStyle w:val="Compact"/>
              <w:jc w:val="left"/>
            </w:pPr>
            <w:r>
              <w:t xml:space="preserve">N/A</w:t>
            </w:r>
          </w:p>
        </w:tc>
        <w:tc>
          <w:tcPr/>
          <w:p>
            <w:pPr>
              <w:pStyle w:val="Compact"/>
              <w:jc w:val="left"/>
            </w:pPr>
            <w:r>
              <w:t xml:space="preserve">N/A</w:t>
            </w:r>
          </w:p>
        </w:tc>
      </w:tr>
      <w:tr>
        <w:tc>
          <w:tcPr/>
          <w:p>
            <w:pPr>
              <w:pStyle w:val="Compact"/>
              <w:jc w:val="left"/>
            </w:pPr>
            <w:r>
              <w:t xml:space="preserve">Non-Renewable Electricity (Purchased)</w:t>
            </w:r>
          </w:p>
        </w:tc>
        <w:tc>
          <w:tcPr/>
          <w:p>
            <w:pPr>
              <w:pStyle w:val="Compact"/>
              <w:jc w:val="left"/>
            </w:pPr>
            <w:r>
              <w:t xml:space="preserve">2.00</w:t>
            </w:r>
          </w:p>
        </w:tc>
        <w:tc>
          <w:tcPr/>
          <w:p>
            <w:pPr>
              <w:pStyle w:val="Compact"/>
              <w:jc w:val="left"/>
            </w:pPr>
            <w:r>
              <w:t xml:space="preserve">kWh/unit</w:t>
            </w:r>
          </w:p>
        </w:tc>
        <w:tc>
          <w:tcPr/>
          <w:p>
            <w:pPr>
              <w:pStyle w:val="Compact"/>
              <w:jc w:val="left"/>
            </w:pPr>
            <w:r>
              <w:t xml:space="preserve">Calculated (5 kWh * 40%)</w:t>
            </w:r>
          </w:p>
        </w:tc>
        <w:tc>
          <w:tcPr/>
          <w:p>
            <w:pPr>
              <w:pStyle w:val="Compact"/>
              <w:jc w:val="left"/>
            </w:pPr>
            <w:r>
              <w:t xml:space="preserve">0.60</w:t>
            </w:r>
          </w:p>
        </w:tc>
        <w:tc>
          <w:tcPr/>
          <w:p>
            <w:pPr>
              <w:pStyle w:val="Compact"/>
              <w:jc w:val="left"/>
            </w:pPr>
            <w:r>
              <w:t xml:space="preserve">kgCO2e/kWh (China Grid)</w:t>
            </w:r>
          </w:p>
        </w:tc>
      </w:tr>
      <w:tr>
        <w:tc>
          <w:tcPr/>
          <w:p>
            <w:pPr>
              <w:pStyle w:val="Compact"/>
              <w:jc w:val="left"/>
            </w:pPr>
            <w:r>
              <w:t xml:space="preserve">Renewable Electricity (Purchased)</w:t>
            </w:r>
          </w:p>
        </w:tc>
        <w:tc>
          <w:tcPr/>
          <w:p>
            <w:pPr>
              <w:pStyle w:val="Compact"/>
              <w:jc w:val="left"/>
            </w:pPr>
            <w:r>
              <w:t xml:space="preserve">3.00</w:t>
            </w:r>
          </w:p>
        </w:tc>
        <w:tc>
          <w:tcPr/>
          <w:p>
            <w:pPr>
              <w:pStyle w:val="Compact"/>
              <w:jc w:val="left"/>
            </w:pPr>
            <w:r>
              <w:t xml:space="preserve">kWh/unit</w:t>
            </w:r>
          </w:p>
        </w:tc>
        <w:tc>
          <w:tcPr/>
          <w:p>
            <w:pPr>
              <w:pStyle w:val="Compact"/>
              <w:jc w:val="left"/>
            </w:pPr>
            <w:r>
              <w:t xml:space="preserve">Calculated (5 kWh * 60%)</w:t>
            </w:r>
          </w:p>
        </w:tc>
        <w:tc>
          <w:tcPr/>
          <w:p>
            <w:pPr>
              <w:pStyle w:val="Compact"/>
              <w:jc w:val="left"/>
            </w:pPr>
            <w:r>
              <w:t xml:space="preserve">0.0 (assumed)</w:t>
            </w:r>
          </w:p>
        </w:tc>
        <w:tc>
          <w:tcPr/>
          <w:p>
            <w:pPr>
              <w:pStyle w:val="Compact"/>
              <w:jc w:val="left"/>
            </w:pPr>
            <w:r>
              <w:t xml:space="preserve">kgCO2e/kWh</w:t>
            </w:r>
          </w:p>
        </w:tc>
      </w:tr>
    </w:tbl>
    <w:bookmarkEnd w:id="25"/>
    <w:bookmarkStart w:id="26" w:name="logistics-data-transport"/>
    <w:p>
      <w:pPr>
        <w:pStyle w:val="Heading4"/>
      </w:pPr>
      <w:r>
        <w:t xml:space="preserve">Logistics Data (Transport)</w:t>
      </w:r>
    </w:p>
    <w:p>
      <w:pPr>
        <w:pStyle w:val="FirstParagraph"/>
      </w:pPr>
      <w:r>
        <w:t xml:space="preserve">Specific logistics data were incorporated into the supply chain analysis:</w:t>
      </w:r>
    </w:p>
    <w:tbl>
      <w:tblPr>
        <w:tblStyle w:val="Table"/>
        <w:tblW w:type="auto" w:w="0"/>
        <w:tblLook w:firstRow="1" w:lastRow="0"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Transport Stage</w:t>
            </w:r>
          </w:p>
        </w:tc>
        <w:tc>
          <w:tcPr/>
          <w:p>
            <w:pPr>
              <w:pStyle w:val="Compact"/>
              <w:jc w:val="left"/>
            </w:pPr>
            <w:r>
              <w:t xml:space="preserve">Mode</w:t>
            </w:r>
          </w:p>
        </w:tc>
        <w:tc>
          <w:tcPr/>
          <w:p>
            <w:pPr>
              <w:pStyle w:val="Compact"/>
              <w:jc w:val="left"/>
            </w:pPr>
            <w:r>
              <w:t xml:space="preserve">Distance</w:t>
            </w:r>
          </w:p>
        </w:tc>
        <w:tc>
          <w:tcPr/>
          <w:p>
            <w:pPr>
              <w:pStyle w:val="Compact"/>
              <w:jc w:val="left"/>
            </w:pPr>
            <w:r>
              <w:t xml:space="preserve">Product Weight</w:t>
            </w:r>
          </w:p>
        </w:tc>
        <w:tc>
          <w:tcPr/>
          <w:p>
            <w:pPr>
              <w:pStyle w:val="Compact"/>
              <w:jc w:val="left"/>
            </w:pPr>
            <w:r>
              <w:t xml:space="preserve">Emission Factor (Illustrative)</w:t>
            </w:r>
          </w:p>
        </w:tc>
        <w:tc>
          <w:tcPr/>
          <w:p>
            <w:pPr>
              <w:pStyle w:val="Compact"/>
              <w:jc w:val="left"/>
            </w:pPr>
            <w:r>
              <w:t xml:space="preserve">Total Emissions</w:t>
            </w:r>
          </w:p>
        </w:tc>
      </w:tr>
      <w:tr>
        <w:tc>
          <w:tcPr/>
          <w:p>
            <w:pPr>
              <w:pStyle w:val="Compact"/>
              <w:jc w:val="left"/>
            </w:pPr>
            <w:r>
              <w:t xml:space="preserve">Upstream (Raw/Processed Materials)</w:t>
            </w:r>
          </w:p>
        </w:tc>
        <w:tc>
          <w:tcPr/>
          <w:p>
            <w:pPr>
              <w:pStyle w:val="Compact"/>
              <w:jc w:val="left"/>
            </w:pPr>
            <w:r>
              <w:t xml:space="preserve">Ocean Freight</w:t>
            </w:r>
          </w:p>
        </w:tc>
        <w:tc>
          <w:tcPr/>
          <w:p>
            <w:pPr>
              <w:pStyle w:val="Compact"/>
              <w:jc w:val="left"/>
            </w:pPr>
            <w:r>
              <w:t xml:space="preserve">5000 km</w:t>
            </w:r>
          </w:p>
        </w:tc>
        <w:tc>
          <w:tcPr/>
          <w:p>
            <w:pPr>
              <w:pStyle w:val="Compact"/>
              <w:jc w:val="left"/>
            </w:pPr>
            <w:r>
              <w:t xml:space="preserve">0.75 kg</w:t>
            </w:r>
          </w:p>
        </w:tc>
        <w:tc>
          <w:tcPr/>
          <w:p>
            <w:pPr>
              <w:pStyle w:val="Compact"/>
              <w:jc w:val="left"/>
            </w:pPr>
            <w:r>
              <w:t xml:space="preserve">0.00001000 kgCO2e/kg-km</w:t>
            </w:r>
          </w:p>
        </w:tc>
        <w:tc>
          <w:tcPr/>
          <w:p>
            <w:pPr>
              <w:pStyle w:val="Compact"/>
              <w:jc w:val="left"/>
            </w:pPr>
            <w:r>
              <w:t xml:space="preserve">0.0375 kgCO2e</w:t>
            </w:r>
          </w:p>
        </w:tc>
      </w:tr>
      <w:tr>
        <w:tc>
          <w:tcPr/>
          <w:p>
            <w:pPr>
              <w:pStyle w:val="Compact"/>
              <w:jc w:val="left"/>
            </w:pPr>
            <w:r>
              <w:t xml:space="preserve">Downstream (Factory to Distribution Hub)</w:t>
            </w:r>
          </w:p>
        </w:tc>
        <w:tc>
          <w:tcPr/>
          <w:p>
            <w:pPr>
              <w:pStyle w:val="Compact"/>
              <w:jc w:val="left"/>
            </w:pPr>
            <w:r>
              <w:t xml:space="preserve">Ocean Freight</w:t>
            </w:r>
          </w:p>
        </w:tc>
        <w:tc>
          <w:tcPr/>
          <w:p>
            <w:pPr>
              <w:pStyle w:val="Compact"/>
              <w:jc w:val="left"/>
            </w:pPr>
            <w:r>
              <w:t xml:space="preserve">15000 km</w:t>
            </w:r>
          </w:p>
        </w:tc>
        <w:tc>
          <w:tcPr/>
          <w:p>
            <w:pPr>
              <w:pStyle w:val="Compact"/>
              <w:jc w:val="left"/>
            </w:pPr>
            <w:r>
              <w:t xml:space="preserve">0.75 kg</w:t>
            </w:r>
          </w:p>
        </w:tc>
        <w:tc>
          <w:tcPr/>
          <w:p>
            <w:pPr>
              <w:pStyle w:val="Compact"/>
              <w:jc w:val="left"/>
            </w:pPr>
            <w:r>
              <w:t xml:space="preserve">0.00001000 kgCO2e/kg-km</w:t>
            </w:r>
          </w:p>
        </w:tc>
        <w:tc>
          <w:tcPr/>
          <w:p>
            <w:pPr>
              <w:pStyle w:val="Compact"/>
              <w:jc w:val="left"/>
            </w:pPr>
            <w:r>
              <w:t xml:space="preserve">0.1125 kgCO2e</w:t>
            </w:r>
          </w:p>
        </w:tc>
      </w:tr>
      <w:tr>
        <w:tc>
          <w:tcPr/>
          <w:p>
            <w:pPr>
              <w:pStyle w:val="Compact"/>
              <w:jc w:val="left"/>
            </w:pPr>
            <w:r>
              <w:t xml:space="preserve">Last-Mile Delivery</w:t>
            </w:r>
          </w:p>
        </w:tc>
        <w:tc>
          <w:tcPr/>
          <w:p>
            <w:pPr>
              <w:pStyle w:val="Compact"/>
              <w:jc w:val="left"/>
            </w:pPr>
            <w:r>
              <w:t xml:space="preserve">Road Freight (Light Commercial Vehicle)</w:t>
            </w:r>
          </w:p>
        </w:tc>
        <w:tc>
          <w:tcPr/>
          <w:p>
            <w:pPr>
              <w:pStyle w:val="Compact"/>
              <w:jc w:val="left"/>
            </w:pPr>
            <w:r>
              <w:t xml:space="preserve">200 km</w:t>
            </w:r>
          </w:p>
        </w:tc>
        <w:tc>
          <w:tcPr/>
          <w:p>
            <w:pPr>
              <w:pStyle w:val="Compact"/>
              <w:jc w:val="left"/>
            </w:pPr>
            <w:r>
              <w:t xml:space="preserve">0.75 kg</w:t>
            </w:r>
          </w:p>
        </w:tc>
        <w:tc>
          <w:tcPr/>
          <w:p>
            <w:pPr>
              <w:pStyle w:val="Compact"/>
              <w:jc w:val="left"/>
            </w:pPr>
            <w:r>
              <w:t xml:space="preserve">0.00015000 kgCO2e/kg-km</w:t>
            </w:r>
          </w:p>
        </w:tc>
        <w:tc>
          <w:tcPr/>
          <w:p>
            <w:pPr>
              <w:pStyle w:val="Compact"/>
              <w:jc w:val="left"/>
            </w:pPr>
            <w:r>
              <w:t xml:space="preserve">0.0225 kgCO2e</w:t>
            </w:r>
          </w:p>
        </w:tc>
      </w:tr>
    </w:tbl>
    <w:bookmarkEnd w:id="26"/>
    <w:bookmarkStart w:id="27" w:name="use-phase-data"/>
    <w:p>
      <w:pPr>
        <w:pStyle w:val="Heading4"/>
      </w:pPr>
      <w:r>
        <w:t xml:space="preserve">Use Phase Data</w:t>
      </w:r>
    </w:p>
    <w:p>
      <w:pPr>
        <w:pStyle w:val="FirstParagraph"/>
      </w:pPr>
      <w:r>
        <w:t xml:space="preserve">The \'Use Phase\' calculation expanded using specific durability and consumption data:</w:t>
      </w:r>
    </w:p>
    <w:tbl>
      <w:tblPr>
        <w:tblStyle w:val="Table"/>
        <w:tblW w:type="auto" w:w="0"/>
        <w:tblLook w:firstRow="1" w:lastRow="0"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c>
          <w:tcPr/>
          <w:p>
            <w:pPr>
              <w:pStyle w:val="Compact"/>
              <w:jc w:val="left"/>
            </w:pPr>
            <w:r>
              <w:t xml:space="preserve">Notes</w:t>
            </w:r>
          </w:p>
        </w:tc>
        <w:tc>
          <w:tcPr/>
          <w:p>
            <w:pPr>
              <w:pStyle w:val="Compact"/>
              <w:jc w:val="left"/>
            </w:pPr>
            <w:r>
              <w:t xml:space="preserve">Emission Factor (Illustrative)</w:t>
            </w:r>
          </w:p>
        </w:tc>
        <w:tc>
          <w:tcPr/>
          <w:p>
            <w:pPr>
              <w:pStyle w:val="Compact"/>
              <w:jc w:val="left"/>
            </w:pPr>
            <w:r>
              <w:t xml:space="preserve">Unit of EF</w:t>
            </w:r>
          </w:p>
        </w:tc>
      </w:tr>
      <w:tr>
        <w:tc>
          <w:tcPr/>
          <w:p>
            <w:pPr>
              <w:pStyle w:val="Compact"/>
              <w:jc w:val="left"/>
            </w:pPr>
            <w:r>
              <w:t xml:space="preserve">Product Lifespan</w:t>
            </w:r>
          </w:p>
        </w:tc>
        <w:tc>
          <w:tcPr/>
          <w:p>
            <w:pPr>
              <w:pStyle w:val="Compact"/>
              <w:jc w:val="left"/>
            </w:pPr>
            <w:r>
              <w:t xml:space="preserve">5</w:t>
            </w:r>
          </w:p>
        </w:tc>
        <w:tc>
          <w:tcPr/>
          <w:p>
            <w:pPr>
              <w:pStyle w:val="Compact"/>
              <w:jc w:val="left"/>
            </w:pPr>
            <w:r>
              <w:t xml:space="preserve">years</w:t>
            </w:r>
          </w:p>
        </w:tc>
        <w:tc>
          <w:tcPr/>
          <w:p>
            <w:pPr>
              <w:pStyle w:val="Compact"/>
              <w:jc w:val="left"/>
            </w:pPr>
            <w:r>
              <w:t xml:space="preserve">Provided parameter</w:t>
            </w:r>
          </w:p>
        </w:tc>
        <w:tc>
          <w:tcPr/>
          <w:p>
            <w:pPr>
              <w:pStyle w:val="Compact"/>
              <w:jc w:val="left"/>
            </w:pPr>
            <w:r>
              <w:t xml:space="preserve">N/A</w:t>
            </w:r>
          </w:p>
        </w:tc>
        <w:tc>
          <w:tcPr/>
          <w:p>
            <w:pPr>
              <w:pStyle w:val="Compact"/>
              <w:jc w:val="left"/>
            </w:pPr>
            <w:r>
              <w:t xml:space="preserve">N/A</w:t>
            </w:r>
          </w:p>
        </w:tc>
      </w:tr>
      <w:tr>
        <w:tc>
          <w:tcPr/>
          <w:p>
            <w:pPr>
              <w:pStyle w:val="Compact"/>
              <w:jc w:val="left"/>
            </w:pPr>
            <w:r>
              <w:t xml:space="preserve">Energy Consumption in Use (Annual)</w:t>
            </w:r>
          </w:p>
        </w:tc>
        <w:tc>
          <w:tcPr/>
          <w:p>
            <w:pPr>
              <w:pStyle w:val="Compact"/>
              <w:jc w:val="left"/>
            </w:pPr>
            <w:r>
              <w:t xml:space="preserve">10.0</w:t>
            </w:r>
          </w:p>
        </w:tc>
        <w:tc>
          <w:tcPr/>
          <w:p>
            <w:pPr>
              <w:pStyle w:val="Compact"/>
              <w:jc w:val="left"/>
            </w:pPr>
            <w:r>
              <w:t xml:space="preserve">kWh/year</w:t>
            </w:r>
          </w:p>
        </w:tc>
        <w:tc>
          <w:tcPr/>
          <w:p>
            <w:pPr>
              <w:pStyle w:val="Compact"/>
              <w:jc w:val="left"/>
            </w:pPr>
            <w:r>
              <w:t xml:space="preserve">Provided parameter</w:t>
            </w:r>
          </w:p>
        </w:tc>
        <w:tc>
          <w:tcPr/>
          <w:p>
            <w:pPr>
              <w:pStyle w:val="Compact"/>
              <w:jc w:val="left"/>
            </w:pPr>
            <w:r>
              <w:t xml:space="preserve">N/A</w:t>
            </w:r>
          </w:p>
        </w:tc>
        <w:tc>
          <w:tcPr/>
          <w:p>
            <w:pPr>
              <w:pStyle w:val="Compact"/>
              <w:jc w:val="left"/>
            </w:pPr>
            <w:r>
              <w:t xml:space="preserve">N/A</w:t>
            </w:r>
          </w:p>
        </w:tc>
      </w:tr>
      <w:tr>
        <w:tc>
          <w:tcPr/>
          <w:p>
            <w:pPr>
              <w:pStyle w:val="Compact"/>
              <w:jc w:val="left"/>
            </w:pPr>
            <w:r>
              <w:t xml:space="preserve">Total Energy Consumption (Lifespan)</w:t>
            </w:r>
          </w:p>
        </w:tc>
        <w:tc>
          <w:tcPr/>
          <w:p>
            <w:pPr>
              <w:pStyle w:val="Compact"/>
              <w:jc w:val="left"/>
            </w:pPr>
            <w:r>
              <w:t xml:space="preserve">50.0</w:t>
            </w:r>
          </w:p>
        </w:tc>
        <w:tc>
          <w:tcPr/>
          <w:p>
            <w:pPr>
              <w:pStyle w:val="Compact"/>
              <w:jc w:val="left"/>
            </w:pPr>
            <w:r>
              <w:t xml:space="preserve">kWh</w:t>
            </w:r>
          </w:p>
        </w:tc>
        <w:tc>
          <w:tcPr/>
          <w:p>
            <w:pPr>
              <w:pStyle w:val="Compact"/>
              <w:jc w:val="left"/>
            </w:pPr>
            <w:r>
              <w:t xml:space="preserve">Calculated (10 kWh/year * 5 years)</w:t>
            </w:r>
          </w:p>
        </w:tc>
        <w:tc>
          <w:tcPr/>
          <w:p>
            <w:pPr>
              <w:pStyle w:val="Compact"/>
              <w:jc w:val="left"/>
            </w:pPr>
            <w:r>
              <w:t xml:space="preserve">0.30</w:t>
            </w:r>
          </w:p>
        </w:tc>
        <w:tc>
          <w:tcPr/>
          <w:p>
            <w:pPr>
              <w:pStyle w:val="Compact"/>
              <w:jc w:val="left"/>
            </w:pPr>
            <w:r>
              <w:t xml:space="preserve">kgCO2e/kWh (Europe Avg Grid)</w:t>
            </w:r>
          </w:p>
        </w:tc>
      </w:tr>
    </w:tbl>
    <w:bookmarkEnd w:id="27"/>
    <w:bookmarkStart w:id="28" w:name="end-of-life-eol-scenarios"/>
    <w:p>
      <w:pPr>
        <w:pStyle w:val="Heading4"/>
      </w:pPr>
      <w:r>
        <w:t xml:space="preserve">End-of-Life (EoL) Scenarios</w:t>
      </w:r>
    </w:p>
    <w:p>
      <w:pPr>
        <w:pStyle w:val="FirstParagraph"/>
      </w:pPr>
      <w:r>
        <w:t xml:space="preserve">End-of-Life (EoL) scenarios were incorporated to reflect circular economy impacts:</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Parameter/Activity</w:t>
            </w:r>
          </w:p>
        </w:tc>
        <w:tc>
          <w:tcPr/>
          <w:p>
            <w:pPr>
              <w:pStyle w:val="Compact"/>
              <w:jc w:val="left"/>
            </w:pPr>
            <w:r>
              <w:t xml:space="preserve">Value</w:t>
            </w:r>
          </w:p>
        </w:tc>
        <w:tc>
          <w:tcPr/>
          <w:p>
            <w:pPr>
              <w:pStyle w:val="Compact"/>
              <w:jc w:val="left"/>
            </w:pPr>
            <w:r>
              <w:t xml:space="preserve">Unit</w:t>
            </w:r>
          </w:p>
        </w:tc>
        <w:tc>
          <w:tcPr/>
          <w:p>
            <w:pPr>
              <w:pStyle w:val="Compact"/>
              <w:jc w:val="left"/>
            </w:pPr>
            <w:r>
              <w:t xml:space="preserve">Notes</w:t>
            </w:r>
          </w:p>
        </w:tc>
        <w:tc>
          <w:tcPr/>
          <w:p>
            <w:pPr>
              <w:pStyle w:val="Compact"/>
              <w:jc w:val="left"/>
            </w:pPr>
            <w:r>
              <w:t xml:space="preserve">Emission Factor (Illustrative)</w:t>
            </w:r>
          </w:p>
        </w:tc>
        <w:tc>
          <w:tcPr/>
          <w:p>
            <w:pPr>
              <w:pStyle w:val="Compact"/>
              <w:jc w:val="left"/>
            </w:pPr>
            <w:r>
              <w:t xml:space="preserve">Total Emissions/Credit</w:t>
            </w:r>
          </w:p>
        </w:tc>
        <w:tc>
          <w:tcPr/>
          <w:p>
            <w:pPr>
              <w:pStyle w:val="Compact"/>
            </w:pPr>
          </w:p>
        </w:tc>
      </w:tr>
      <w:tr>
        <w:tc>
          <w:tcPr/>
          <w:p>
            <w:pPr>
              <w:pStyle w:val="Compact"/>
              <w:jc w:val="left"/>
            </w:pPr>
            <w:r>
              <w:t xml:space="preserve">Total Product Weight for EoL</w:t>
            </w:r>
          </w:p>
        </w:tc>
        <w:tc>
          <w:tcPr/>
          <w:p>
            <w:pPr>
              <w:pStyle w:val="Compact"/>
              <w:jc w:val="left"/>
            </w:pPr>
            <w:r>
              <w:t xml:space="preserve">0.75</w:t>
            </w:r>
          </w:p>
        </w:tc>
        <w:tc>
          <w:tcPr/>
          <w:p>
            <w:pPr>
              <w:pStyle w:val="Compact"/>
              <w:jc w:val="left"/>
            </w:pPr>
            <w:r>
              <w:t xml:space="preserve">kg</w:t>
            </w:r>
          </w:p>
        </w:tc>
        <w:tc>
          <w:tcPr/>
          <w:p>
            <w:pPr>
              <w:pStyle w:val="Compact"/>
              <w:jc w:val="left"/>
            </w:pPr>
            <w:r>
              <w:t xml:space="preserve">Based on BOM physical weights</w:t>
            </w:r>
          </w:p>
        </w:tc>
        <w:tc>
          <w:tcPr/>
          <w:p>
            <w:pPr>
              <w:pStyle w:val="Compact"/>
              <w:jc w:val="left"/>
            </w:pPr>
            <w:r>
              <w:t xml:space="preserve">N/A</w:t>
            </w:r>
          </w:p>
        </w:tc>
        <w:tc>
          <w:tcPr/>
          <w:p>
            <w:pPr>
              <w:pStyle w:val="Compact"/>
              <w:jc w:val="left"/>
            </w:pPr>
            <w:r>
              <w:t xml:space="preserve">N/A</w:t>
            </w:r>
          </w:p>
        </w:tc>
        <w:tc>
          <w:tcPr/>
          <w:p>
            <w:pPr>
              <w:pStyle w:val="Compact"/>
            </w:pPr>
          </w:p>
        </w:tc>
      </w:tr>
      <w:tr>
        <w:tc>
          <w:tcPr/>
          <w:p>
            <w:pPr>
              <w:pStyle w:val="Compact"/>
              <w:jc w:val="left"/>
            </w:pPr>
            <w:r>
              <w:t xml:space="preserve">Recyclability Percentage</w:t>
            </w:r>
          </w:p>
        </w:tc>
        <w:tc>
          <w:tcPr/>
          <w:p>
            <w:pPr>
              <w:pStyle w:val="Compact"/>
              <w:jc w:val="left"/>
            </w:pPr>
            <w:r>
              <w:t xml:space="preserve">80%</w:t>
            </w:r>
          </w:p>
        </w:tc>
        <w:tc>
          <w:tcPr/>
          <w:p>
            <w:pPr>
              <w:pStyle w:val="Compact"/>
              <w:jc w:val="left"/>
            </w:pPr>
            <w:r>
              <w:t xml:space="preserve">%</w:t>
            </w:r>
          </w:p>
        </w:tc>
        <w:tc>
          <w:tcPr/>
          <w:p>
            <w:pPr>
              <w:pStyle w:val="Compact"/>
              <w:jc w:val="left"/>
            </w:pPr>
            <w:r>
              <w:t xml:space="preserve">Provided parameter</w:t>
            </w:r>
          </w:p>
        </w:tc>
        <w:tc>
          <w:tcPr/>
          <w:p>
            <w:pPr>
              <w:pStyle w:val="Compact"/>
              <w:jc w:val="left"/>
            </w:pPr>
            <w:r>
              <w:t xml:space="preserve">N/A</w:t>
            </w:r>
          </w:p>
        </w:tc>
        <w:tc>
          <w:tcPr/>
          <w:p>
            <w:pPr>
              <w:pStyle w:val="Compact"/>
              <w:jc w:val="left"/>
            </w:pPr>
            <w:r>
              <w:t xml:space="preserve">N/A</w:t>
            </w:r>
          </w:p>
        </w:tc>
        <w:tc>
          <w:tcPr/>
          <w:p>
            <w:pPr>
              <w:pStyle w:val="Compact"/>
            </w:pPr>
          </w:p>
        </w:tc>
      </w:tr>
      <w:tr>
        <w:tc>
          <w:tcPr/>
          <w:p>
            <w:pPr>
              <w:pStyle w:val="Compact"/>
              <w:jc w:val="left"/>
            </w:pPr>
            <w:r>
              <w:t xml:space="preserve">Weight Disposed</w:t>
            </w:r>
          </w:p>
        </w:tc>
        <w:tc>
          <w:tcPr/>
          <w:p>
            <w:pPr>
              <w:pStyle w:val="Compact"/>
              <w:jc w:val="left"/>
            </w:pPr>
            <w:r>
              <w:t xml:space="preserve">0.15</w:t>
            </w:r>
          </w:p>
        </w:tc>
        <w:tc>
          <w:tcPr/>
          <w:p>
            <w:pPr>
              <w:pStyle w:val="Compact"/>
              <w:jc w:val="left"/>
            </w:pPr>
            <w:r>
              <w:t xml:space="preserve">kg</w:t>
            </w:r>
          </w:p>
        </w:tc>
        <w:tc>
          <w:tcPr/>
          <w:p>
            <w:pPr>
              <w:pStyle w:val="Compact"/>
              <w:jc w:val="left"/>
            </w:pPr>
            <w:r>
              <w:t xml:space="preserve">(20% of 0.75 kg)</w:t>
            </w:r>
          </w:p>
        </w:tc>
        <w:tc>
          <w:tcPr/>
          <w:p>
            <w:pPr>
              <w:pStyle w:val="Compact"/>
              <w:jc w:val="left"/>
            </w:pPr>
            <w:r>
              <w:t xml:space="preserve">1.0</w:t>
            </w:r>
          </w:p>
        </w:tc>
        <w:tc>
          <w:tcPr/>
          <w:p>
            <w:pPr>
              <w:pStyle w:val="Compact"/>
              <w:jc w:val="left"/>
            </w:pPr>
            <w:r>
              <w:t xml:space="preserve">kgCO2e/kg (Landfill)</w:t>
            </w:r>
          </w:p>
        </w:tc>
        <w:tc>
          <w:tcPr/>
          <w:p>
            <w:pPr>
              <w:pStyle w:val="Compact"/>
              <w:jc w:val="left"/>
            </w:pPr>
            <w:r>
              <w:t xml:space="preserve">0.15 kgCO2e</w:t>
            </w:r>
          </w:p>
        </w:tc>
      </w:tr>
      <w:tr>
        <w:tc>
          <w:tcPr/>
          <w:p>
            <w:pPr>
              <w:pStyle w:val="Compact"/>
              <w:jc w:val="left"/>
            </w:pPr>
            <w:r>
              <w:t xml:space="preserve">Weight Recycled</w:t>
            </w:r>
          </w:p>
        </w:tc>
        <w:tc>
          <w:tcPr/>
          <w:p>
            <w:pPr>
              <w:pStyle w:val="Compact"/>
              <w:jc w:val="left"/>
            </w:pPr>
            <w:r>
              <w:t xml:space="preserve">0.60</w:t>
            </w:r>
          </w:p>
        </w:tc>
        <w:tc>
          <w:tcPr/>
          <w:p>
            <w:pPr>
              <w:pStyle w:val="Compact"/>
              <w:jc w:val="left"/>
            </w:pPr>
            <w:r>
              <w:t xml:space="preserve">kg</w:t>
            </w:r>
          </w:p>
        </w:tc>
        <w:tc>
          <w:tcPr/>
          <w:p>
            <w:pPr>
              <w:pStyle w:val="Compact"/>
              <w:jc w:val="left"/>
            </w:pPr>
            <w:r>
              <w:t xml:space="preserve">(80% of 0.75 kg)</w:t>
            </w:r>
          </w:p>
        </w:tc>
        <w:tc>
          <w:tcPr/>
          <w:p>
            <w:pPr>
              <w:pStyle w:val="Compact"/>
              <w:jc w:val="left"/>
            </w:pPr>
            <w:r>
              <w:t xml:space="preserve">N/A</w:t>
            </w:r>
          </w:p>
        </w:tc>
        <w:tc>
          <w:tcPr/>
          <w:p>
            <w:pPr>
              <w:pStyle w:val="Compact"/>
              <w:jc w:val="left"/>
            </w:pPr>
            <w:r>
              <w:t xml:space="preserve">N/A</w:t>
            </w:r>
          </w:p>
        </w:tc>
        <w:tc>
          <w:tcPr/>
          <w:p>
            <w:pPr>
              <w:pStyle w:val="Compact"/>
            </w:pPr>
          </w:p>
        </w:tc>
      </w:tr>
      <w:tr>
        <w:tc>
          <w:tcPr/>
          <w:p>
            <w:pPr>
              <w:pStyle w:val="Compact"/>
              <w:jc w:val="left"/>
            </w:pPr>
            <w:r>
              <w:t xml:space="preserve">Recycling Credit (Aluminum)</w:t>
            </w:r>
          </w:p>
        </w:tc>
        <w:tc>
          <w:tcPr/>
          <w:p>
            <w:pPr>
              <w:pStyle w:val="Compact"/>
              <w:jc w:val="left"/>
            </w:pPr>
            <w:r>
              <w:t xml:space="preserve">0.40</w:t>
            </w:r>
          </w:p>
        </w:tc>
        <w:tc>
          <w:tcPr/>
          <w:p>
            <w:pPr>
              <w:pStyle w:val="Compact"/>
              <w:jc w:val="left"/>
            </w:pPr>
            <w:r>
              <w:t xml:space="preserve">kg</w:t>
            </w:r>
          </w:p>
        </w:tc>
        <w:tc>
          <w:tcPr/>
          <w:p>
            <w:pPr>
              <w:pStyle w:val="Compact"/>
              <w:jc w:val="left"/>
            </w:pPr>
            <w:r>
              <w:t xml:space="preserve">Proportional weight</w:t>
            </w:r>
          </w:p>
        </w:tc>
        <w:tc>
          <w:tcPr/>
          <w:p>
            <w:pPr>
              <w:pStyle w:val="Compact"/>
              <w:jc w:val="left"/>
            </w:pPr>
            <w:r>
              <w:t xml:space="preserve">-5.0</w:t>
            </w:r>
          </w:p>
        </w:tc>
        <w:tc>
          <w:tcPr/>
          <w:p>
            <w:pPr>
              <w:pStyle w:val="Compact"/>
              <w:jc w:val="left"/>
            </w:pPr>
            <w:r>
              <w:t xml:space="preserve">kgCO2e/kg (Avoided)</w:t>
            </w:r>
          </w:p>
        </w:tc>
        <w:tc>
          <w:tcPr/>
          <w:p>
            <w:pPr>
              <w:pStyle w:val="Compact"/>
              <w:jc w:val="left"/>
            </w:pPr>
            <w:r>
              <w:t xml:space="preserve">-2.00 kgCO2e</w:t>
            </w:r>
          </w:p>
        </w:tc>
      </w:tr>
      <w:tr>
        <w:tc>
          <w:tcPr/>
          <w:p>
            <w:pPr>
              <w:pStyle w:val="Compact"/>
              <w:jc w:val="left"/>
            </w:pPr>
            <w:r>
              <w:t xml:space="preserve">Recycling Credit (Plastic)</w:t>
            </w:r>
          </w:p>
        </w:tc>
        <w:tc>
          <w:tcPr/>
          <w:p>
            <w:pPr>
              <w:pStyle w:val="Compact"/>
              <w:jc w:val="left"/>
            </w:pPr>
            <w:r>
              <w:t xml:space="preserve">0.16</w:t>
            </w:r>
          </w:p>
        </w:tc>
        <w:tc>
          <w:tcPr/>
          <w:p>
            <w:pPr>
              <w:pStyle w:val="Compact"/>
              <w:jc w:val="left"/>
            </w:pPr>
            <w:r>
              <w:t xml:space="preserve">kg</w:t>
            </w:r>
          </w:p>
        </w:tc>
        <w:tc>
          <w:tcPr/>
          <w:p>
            <w:pPr>
              <w:pStyle w:val="Compact"/>
              <w:jc w:val="left"/>
            </w:pPr>
            <w:r>
              <w:t xml:space="preserve">Proportional weight</w:t>
            </w:r>
          </w:p>
        </w:tc>
        <w:tc>
          <w:tcPr/>
          <w:p>
            <w:pPr>
              <w:pStyle w:val="Compact"/>
              <w:jc w:val="left"/>
            </w:pPr>
            <w:r>
              <w:t xml:space="preserve">-1.5</w:t>
            </w:r>
          </w:p>
        </w:tc>
        <w:tc>
          <w:tcPr/>
          <w:p>
            <w:pPr>
              <w:pStyle w:val="Compact"/>
              <w:jc w:val="left"/>
            </w:pPr>
            <w:r>
              <w:t xml:space="preserve">kgCO2e/kg (Avoided)</w:t>
            </w:r>
          </w:p>
        </w:tc>
        <w:tc>
          <w:tcPr/>
          <w:p>
            <w:pPr>
              <w:pStyle w:val="Compact"/>
              <w:jc w:val="left"/>
            </w:pPr>
            <w:r>
              <w:t xml:space="preserve">-0.24 kgCO2e</w:t>
            </w:r>
          </w:p>
        </w:tc>
      </w:tr>
      <w:tr>
        <w:tc>
          <w:tcPr/>
          <w:p>
            <w:pPr>
              <w:pStyle w:val="Compact"/>
              <w:jc w:val="left"/>
            </w:pPr>
            <w:r>
              <w:t xml:space="preserve">Recycling Credit (Copper)</w:t>
            </w:r>
          </w:p>
        </w:tc>
        <w:tc>
          <w:tcPr/>
          <w:p>
            <w:pPr>
              <w:pStyle w:val="Compact"/>
              <w:jc w:val="left"/>
            </w:pPr>
            <w:r>
              <w:t xml:space="preserve">0.04</w:t>
            </w:r>
          </w:p>
        </w:tc>
        <w:tc>
          <w:tcPr/>
          <w:p>
            <w:pPr>
              <w:pStyle w:val="Compact"/>
              <w:jc w:val="left"/>
            </w:pPr>
            <w:r>
              <w:t xml:space="preserve">kg</w:t>
            </w:r>
          </w:p>
        </w:tc>
        <w:tc>
          <w:tcPr/>
          <w:p>
            <w:pPr>
              <w:pStyle w:val="Compact"/>
              <w:jc w:val="left"/>
            </w:pPr>
            <w:r>
              <w:t xml:space="preserve">Proportional weight</w:t>
            </w:r>
          </w:p>
        </w:tc>
        <w:tc>
          <w:tcPr/>
          <w:p>
            <w:pPr>
              <w:pStyle w:val="Compact"/>
              <w:jc w:val="left"/>
            </w:pPr>
            <w:r>
              <w:t xml:space="preserve">-3.0</w:t>
            </w:r>
          </w:p>
        </w:tc>
        <w:tc>
          <w:tcPr/>
          <w:p>
            <w:pPr>
              <w:pStyle w:val="Compact"/>
              <w:jc w:val="left"/>
            </w:pPr>
            <w:r>
              <w:t xml:space="preserve">kgCO2e/kg (Avoided)</w:t>
            </w:r>
          </w:p>
        </w:tc>
        <w:tc>
          <w:tcPr/>
          <w:p>
            <w:pPr>
              <w:pStyle w:val="Compact"/>
              <w:jc w:val="left"/>
            </w:pPr>
            <w:r>
              <w:t xml:space="preserve">-0.12 kgCO2e</w:t>
            </w:r>
          </w:p>
        </w:tc>
      </w:tr>
      <w:tr>
        <w:tc>
          <w:tcPr>
            <w:gridSpan w:val="5"/>
          </w:tcPr>
          <w:p>
            <w:pPr>
              <w:pStyle w:val="Compact"/>
              <w:jc w:val="left"/>
            </w:pPr>
            <w:r>
              <w:rPr>
                <w:bCs/>
                <w:b/>
              </w:rPr>
              <w:t xml:space="preserve">Net End-of-Life Emissions</w:t>
            </w:r>
          </w:p>
        </w:tc>
        <w:tc>
          <w:tcPr/>
          <w:p>
            <w:pPr>
              <w:pStyle w:val="Compact"/>
              <w:jc w:val="left"/>
            </w:pPr>
            <w:r>
              <w:rPr>
                <w:bCs/>
                <w:b/>
              </w:rPr>
              <w:t xml:space="preserve">-2.21 kgCO2e</w:t>
            </w:r>
          </w:p>
        </w:tc>
        <w:tc>
          <w:tcPr/>
          <w:p>
            <w:pPr>
              <w:pStyle w:val="Compact"/>
            </w:pPr>
          </w:p>
        </w:tc>
      </w:tr>
    </w:tbl>
    <w:p>
      <w:pPr>
        <w:pStyle w:val="BodyText"/>
      </w:pPr>
      <w:r>
        <w:rPr>
          <w:iCs/>
          <w:i/>
        </w:rPr>
        <w:t xml:space="preserve">Circular/Take-back Programs:</w:t>
      </w:r>
      <w:r>
        <w:t xml:space="preserve"> </w:t>
      </w:r>
      <w:r>
        <w:t xml:space="preserve">The company implements a customer take-back program with material recovery and refurbishment potential, contributing to the recycling credits calculated above and further reducing overall lifecycle impact.</w:t>
      </w:r>
    </w:p>
    <w:p>
      <w:r>
        <w:pict>
          <v:rect style="width:0;height:1.5pt" o:hralign="center" o:hrstd="t" o:hr="t"/>
        </w:pict>
      </w:r>
    </w:p>
    <w:bookmarkEnd w:id="28"/>
    <w:bookmarkEnd w:id="29"/>
    <w:bookmarkEnd w:id="30"/>
    <w:bookmarkStart w:id="35" w:name="X2c62247db19834934c44c209ad423fe06ba5c64"/>
    <w:p>
      <w:pPr>
        <w:pStyle w:val="Heading2"/>
      </w:pPr>
      <w:r>
        <w:t xml:space="preserve">3. Calculation of Emissions (Activity * Emission Factor = CO2e)</w:t>
      </w:r>
    </w:p>
    <w:p>
      <w:pPr>
        <w:pStyle w:val="FirstParagraph"/>
      </w:pPr>
      <w:r>
        <w:t xml:space="preserve">Emissions for each life cycle stage were calculated by multiplying the activity data (e.g., kg of material, kWh of energy, km of transport) by corresponding industry-standard emission factors (illustrative values based on Ecoinvent/DEFRA benchmarks were used where specific data was not provided).</w:t>
      </w:r>
    </w:p>
    <w:bookmarkStart w:id="31" w:name="X0c1fe8d0ca3c4cb154270a2d6a3eeaf772f68ee"/>
    <w:p>
      <w:pPr>
        <w:pStyle w:val="Heading3"/>
      </w:pPr>
      <w:r>
        <w:t xml:space="preserve">3.1. Total Product Carbon Footprint (PCF) by Lifecycle Stage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CO2e Emissions (kg)</w:t>
            </w:r>
          </w:p>
        </w:tc>
        <w:tc>
          <w:tcPr/>
          <w:p>
            <w:pPr>
              <w:pStyle w:val="Compact"/>
              <w:jc w:val="left"/>
            </w:pPr>
            <w:r>
              <w:t xml:space="preserve">GHG Scope</w:t>
            </w:r>
          </w:p>
        </w:tc>
        <w:tc>
          <w:tcPr/>
          <w:p>
            <w:pPr>
              <w:pStyle w:val="Compact"/>
              <w:jc w:val="left"/>
            </w:pPr>
            <w:r>
              <w:t xml:space="preserve">GHG Scope 3 Category</w:t>
            </w:r>
          </w:p>
        </w:tc>
      </w:tr>
      <w:tr>
        <w:tc>
          <w:tcPr/>
          <w:p>
            <w:pPr>
              <w:pStyle w:val="Compact"/>
              <w:jc w:val="left"/>
            </w:pPr>
            <w:r>
              <w:t xml:space="preserve">Material Acquisition &amp; Processing</w:t>
            </w:r>
          </w:p>
        </w:tc>
        <w:tc>
          <w:tcPr/>
          <w:p>
            <w:pPr>
              <w:pStyle w:val="Compact"/>
              <w:jc w:val="left"/>
            </w:pPr>
            <w:r>
              <w:t xml:space="preserve">5.65</w:t>
            </w:r>
          </w:p>
        </w:tc>
        <w:tc>
          <w:tcPr/>
          <w:p>
            <w:pPr>
              <w:pStyle w:val="Compact"/>
              <w:jc w:val="left"/>
            </w:pPr>
            <w:r>
              <w:t xml:space="preserve">Scope 3</w:t>
            </w:r>
          </w:p>
        </w:tc>
        <w:tc>
          <w:tcPr/>
          <w:p>
            <w:pPr>
              <w:pStyle w:val="Compact"/>
              <w:jc w:val="left"/>
            </w:pPr>
            <w:r>
              <w:t xml:space="preserve">Category 1: Purchased Goods and Services</w:t>
            </w:r>
          </w:p>
        </w:tc>
      </w:tr>
      <w:tr>
        <w:tc>
          <w:tcPr/>
          <w:p>
            <w:pPr>
              <w:pStyle w:val="Compact"/>
              <w:jc w:val="left"/>
            </w:pPr>
            <w:r>
              <w:t xml:space="preserve">Manufacturing (Purchased Electricity)</w:t>
            </w:r>
          </w:p>
        </w:tc>
        <w:tc>
          <w:tcPr/>
          <w:p>
            <w:pPr>
              <w:pStyle w:val="Compact"/>
              <w:jc w:val="left"/>
            </w:pPr>
            <w:r>
              <w:t xml:space="preserve">1.20</w:t>
            </w:r>
          </w:p>
        </w:tc>
        <w:tc>
          <w:tcPr/>
          <w:p>
            <w:pPr>
              <w:pStyle w:val="Compact"/>
              <w:jc w:val="left"/>
            </w:pPr>
            <w:r>
              <w:t xml:space="preserve">Scope 2</w:t>
            </w:r>
          </w:p>
        </w:tc>
        <w:tc>
          <w:tcPr/>
          <w:p>
            <w:pPr>
              <w:pStyle w:val="Compact"/>
              <w:jc w:val="left"/>
            </w:pPr>
            <w:r>
              <w:t xml:space="preserve">N/A</w:t>
            </w:r>
          </w:p>
        </w:tc>
      </w:tr>
      <w:tr>
        <w:tc>
          <w:tcPr/>
          <w:p>
            <w:pPr>
              <w:pStyle w:val="Compact"/>
              <w:jc w:val="left"/>
            </w:pPr>
            <w:r>
              <w:t xml:space="preserve">Transport (Upstream &amp; Downstream)</w:t>
            </w:r>
          </w:p>
        </w:tc>
        <w:tc>
          <w:tcPr/>
          <w:p>
            <w:pPr>
              <w:pStyle w:val="Compact"/>
              <w:jc w:val="left"/>
            </w:pPr>
            <w:r>
              <w:t xml:space="preserve">0.17</w:t>
            </w:r>
          </w:p>
        </w:tc>
        <w:tc>
          <w:tcPr/>
          <w:p>
            <w:pPr>
              <w:pStyle w:val="Compact"/>
              <w:jc w:val="left"/>
            </w:pPr>
            <w:r>
              <w:t xml:space="preserve">Scope 3</w:t>
            </w:r>
          </w:p>
        </w:tc>
        <w:tc>
          <w:tcPr/>
          <w:p>
            <w:pPr>
              <w:pStyle w:val="Compact"/>
              <w:jc w:val="left"/>
            </w:pPr>
            <w:r>
              <w:t xml:space="preserve">Category 4: Upstream Transportation and Distribution; Category 9: Downstream Transportation and Distribution</w:t>
            </w:r>
          </w:p>
        </w:tc>
      </w:tr>
      <w:tr>
        <w:tc>
          <w:tcPr/>
          <w:p>
            <w:pPr>
              <w:pStyle w:val="Compact"/>
              <w:jc w:val="left"/>
            </w:pPr>
            <w:r>
              <w:t xml:space="preserve">Use Phase</w:t>
            </w:r>
          </w:p>
        </w:tc>
        <w:tc>
          <w:tcPr/>
          <w:p>
            <w:pPr>
              <w:pStyle w:val="Compact"/>
              <w:jc w:val="left"/>
            </w:pPr>
            <w:r>
              <w:t xml:space="preserve">15.00</w:t>
            </w:r>
          </w:p>
        </w:tc>
        <w:tc>
          <w:tcPr/>
          <w:p>
            <w:pPr>
              <w:pStyle w:val="Compact"/>
              <w:jc w:val="left"/>
            </w:pPr>
            <w:r>
              <w:t xml:space="preserve">Scope 3</w:t>
            </w:r>
          </w:p>
        </w:tc>
        <w:tc>
          <w:tcPr/>
          <w:p>
            <w:pPr>
              <w:pStyle w:val="Compact"/>
              <w:jc w:val="left"/>
            </w:pPr>
            <w:r>
              <w:t xml:space="preserve">Category 11: Use of Sold Products</w:t>
            </w:r>
          </w:p>
        </w:tc>
      </w:tr>
      <w:tr>
        <w:tc>
          <w:tcPr/>
          <w:p>
            <w:pPr>
              <w:pStyle w:val="Compact"/>
              <w:jc w:val="left"/>
            </w:pPr>
            <w:r>
              <w:t xml:space="preserve">End-of-Life (Net)</w:t>
            </w:r>
          </w:p>
        </w:tc>
        <w:tc>
          <w:tcPr/>
          <w:p>
            <w:pPr>
              <w:pStyle w:val="Compact"/>
              <w:jc w:val="left"/>
            </w:pPr>
            <w:r>
              <w:t xml:space="preserve">-2.21</w:t>
            </w:r>
          </w:p>
        </w:tc>
        <w:tc>
          <w:tcPr/>
          <w:p>
            <w:pPr>
              <w:pStyle w:val="Compact"/>
              <w:jc w:val="left"/>
            </w:pPr>
            <w:r>
              <w:t xml:space="preserve">Scope 3</w:t>
            </w:r>
          </w:p>
        </w:tc>
        <w:tc>
          <w:tcPr/>
          <w:p>
            <w:pPr>
              <w:pStyle w:val="Compact"/>
              <w:jc w:val="left"/>
            </w:pPr>
            <w:r>
              <w:t xml:space="preserve">Category 12: End-of-Life Treatment of Sold Products</w:t>
            </w:r>
          </w:p>
        </w:tc>
      </w:tr>
      <w:tr>
        <w:tc>
          <w:tcPr/>
          <w:p>
            <w:pPr>
              <w:pStyle w:val="Compact"/>
              <w:jc w:val="left"/>
            </w:pPr>
            <w:r>
              <w:t xml:space="preserve">TOTAL PRODUCT CARBON FOOTPRINT</w:t>
            </w:r>
          </w:p>
        </w:tc>
        <w:tc>
          <w:tcPr/>
          <w:p>
            <w:pPr>
              <w:pStyle w:val="Compact"/>
              <w:jc w:val="left"/>
            </w:pPr>
            <w:r>
              <w:t xml:space="preserve">19.81</w:t>
            </w:r>
          </w:p>
        </w:tc>
        <w:tc>
          <w:tcPr/>
          <w:p>
            <w:pPr>
              <w:pStyle w:val="Compact"/>
            </w:pPr>
          </w:p>
        </w:tc>
        <w:tc>
          <w:tcPr/>
          <w:p>
            <w:pPr>
              <w:pStyle w:val="Compact"/>
            </w:pPr>
          </w:p>
        </w:tc>
      </w:tr>
    </w:tbl>
    <w:p>
      <w:pPr>
        <w:pStyle w:val="BodyText"/>
      </w:pPr>
      <w:r>
        <w:rPr>
          <w:iCs/>
          <w:i/>
        </w:rPr>
        <w:t xml:space="preserve">Note: The total PCF has been updated based on the refined End-of-Life calculation to 19.81 kgCO2e.</w:t>
      </w:r>
    </w:p>
    <w:bookmarkEnd w:id="31"/>
    <w:bookmarkStart w:id="33" w:name="ghg-protocol-emission-categorization"/>
    <w:p>
      <w:pPr>
        <w:pStyle w:val="Heading3"/>
      </w:pPr>
      <w:r>
        <w:t xml:space="preserve">3.2. GHG Protocol Emission Categorization</w:t>
      </w:r>
    </w:p>
    <w:p>
      <w:pPr>
        <w:pStyle w:val="FirstParagraph"/>
      </w:pPr>
      <w:r>
        <w:t xml:space="preserve">Emissions are categorized into Scope 1 (direct), Scope 2 (purchased energy), and Scope 3 (value chain) as per GHG Protocol standards.</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GHG Scope</w:t>
            </w:r>
          </w:p>
        </w:tc>
        <w:tc>
          <w:tcPr/>
          <w:p>
            <w:pPr>
              <w:pStyle w:val="Compact"/>
              <w:jc w:val="left"/>
            </w:pPr>
            <w:r>
              <w:t xml:space="preserve">CO2e Emissions (kg)</w:t>
            </w:r>
          </w:p>
        </w:tc>
      </w:tr>
      <w:tr>
        <w:tc>
          <w:tcPr/>
          <w:p>
            <w:pPr>
              <w:pStyle w:val="Compact"/>
              <w:jc w:val="left"/>
            </w:pPr>
            <w:r>
              <w:rPr>
                <w:bCs/>
                <w:b/>
              </w:rPr>
              <w:t xml:space="preserve">Scope 1 (Direct Emissions)</w:t>
            </w:r>
          </w:p>
        </w:tc>
        <w:tc>
          <w:tcPr/>
          <w:p>
            <w:pPr>
              <w:pStyle w:val="Compact"/>
              <w:jc w:val="left"/>
            </w:pPr>
            <w:r>
              <w:t xml:space="preserve">0.00 kgCO2e</w:t>
            </w:r>
          </w:p>
        </w:tc>
      </w:tr>
      <w:tr>
        <w:tc>
          <w:tcPr/>
          <w:p>
            <w:pPr>
              <w:pStyle w:val="Compact"/>
              <w:jc w:val="left"/>
            </w:pPr>
            <w:r>
              <w:rPr>
                <w:bCs/>
                <w:b/>
              </w:rPr>
              <w:t xml:space="preserve">Scope 2 (Energy Indirect Emissions)</w:t>
            </w:r>
          </w:p>
        </w:tc>
        <w:tc>
          <w:tcPr/>
          <w:p>
            <w:pPr>
              <w:pStyle w:val="Compact"/>
              <w:jc w:val="left"/>
            </w:pPr>
            <w:r>
              <w:t xml:space="preserve">1.20 kgCO2e</w:t>
            </w:r>
          </w:p>
        </w:tc>
      </w:tr>
      <w:tr>
        <w:tc>
          <w:tcPr/>
          <w:p>
            <w:pPr>
              <w:pStyle w:val="Compact"/>
              <w:jc w:val="left"/>
            </w:pPr>
            <w:r>
              <w:rPr>
                <w:bCs/>
                <w:b/>
              </w:rPr>
              <w:t xml:space="preserve">Scope 3 (Other Indirect Emissions)</w:t>
            </w:r>
          </w:p>
        </w:tc>
        <w:tc>
          <w:tcPr/>
          <w:p>
            <w:pPr>
              <w:pStyle w:val="Compact"/>
              <w:jc w:val="left"/>
            </w:pPr>
            <w:r>
              <w:t xml:space="preserve">18.61 kgCO2e</w:t>
            </w:r>
          </w:p>
        </w:tc>
      </w:tr>
      <w:tr>
        <w:tc>
          <w:tcPr/>
          <w:p>
            <w:pPr>
              <w:pStyle w:val="Compact"/>
              <w:jc w:val="left"/>
            </w:pPr>
            <w:r>
              <w:rPr>
                <w:bCs/>
                <w:b/>
              </w:rPr>
              <w:t xml:space="preserve">TOTAL PRODUCT CARBON FOOTPRINT</w:t>
            </w:r>
          </w:p>
        </w:tc>
        <w:tc>
          <w:tcPr/>
          <w:p>
            <w:pPr>
              <w:pStyle w:val="Compact"/>
              <w:jc w:val="left"/>
            </w:pPr>
            <w:r>
              <w:rPr>
                <w:bCs/>
                <w:b/>
              </w:rPr>
              <w:t xml:space="preserve">19.81 kgCO2e</w:t>
            </w:r>
          </w:p>
        </w:tc>
      </w:tr>
    </w:tbl>
    <w:bookmarkStart w:id="32" w:name="detailed-scope-3-breakdown"/>
    <w:p>
      <w:pPr>
        <w:pStyle w:val="Heading4"/>
      </w:pPr>
      <w:r>
        <w:t xml:space="preserve">Detailed Scope 3 Breakdown:</w:t>
      </w:r>
    </w:p>
    <w:p>
      <w:pPr>
        <w:numPr>
          <w:ilvl w:val="0"/>
          <w:numId w:val="1003"/>
        </w:numPr>
        <w:pStyle w:val="Compact"/>
      </w:pPr>
      <w:r>
        <w:rPr>
          <w:bCs/>
          <w:b/>
        </w:rPr>
        <w:t xml:space="preserve">Category 1: Purchased Goods and Services (Upstream)</w:t>
      </w:r>
      <w:r>
        <w:t xml:space="preserve">: 5.65 kgCO2e (Materials acquisition and processing).</w:t>
      </w:r>
    </w:p>
    <w:p>
      <w:pPr>
        <w:numPr>
          <w:ilvl w:val="0"/>
          <w:numId w:val="1003"/>
        </w:numPr>
        <w:pStyle w:val="Compact"/>
      </w:pPr>
      <w:r>
        <w:rPr>
          <w:bCs/>
          <w:b/>
        </w:rPr>
        <w:t xml:space="preserve">Category 4: Upstream Transportation and Distribution (Upstream)</w:t>
      </w:r>
      <w:r>
        <w:t xml:space="preserve">: 0.0375 kgCO2e (Raw/processed materials from Europe to China).</w:t>
      </w:r>
    </w:p>
    <w:p>
      <w:pPr>
        <w:numPr>
          <w:ilvl w:val="0"/>
          <w:numId w:val="1003"/>
        </w:numPr>
        <w:pStyle w:val="Compact"/>
      </w:pPr>
      <w:r>
        <w:rPr>
          <w:bCs/>
          <w:b/>
        </w:rPr>
        <w:t xml:space="preserve">Category 9: Downstream Transportation and Distribution (Downstream)</w:t>
      </w:r>
      <w:r>
        <w:t xml:space="preserve">: 0.1350 kgCO2e (Product from China to Europe, including last-mile).</w:t>
      </w:r>
    </w:p>
    <w:p>
      <w:pPr>
        <w:numPr>
          <w:ilvl w:val="0"/>
          <w:numId w:val="1003"/>
        </w:numPr>
        <w:pStyle w:val="Compact"/>
      </w:pPr>
      <w:r>
        <w:rPr>
          <w:bCs/>
          <w:b/>
        </w:rPr>
        <w:t xml:space="preserve">Category 11: Use of Sold Products (Downstream)</w:t>
      </w:r>
      <w:r>
        <w:t xml:space="preserve">: 15.00 kgCO2e.</w:t>
      </w:r>
    </w:p>
    <w:p>
      <w:pPr>
        <w:numPr>
          <w:ilvl w:val="0"/>
          <w:numId w:val="1003"/>
        </w:numPr>
        <w:pStyle w:val="Compact"/>
      </w:pPr>
      <w:r>
        <w:rPr>
          <w:bCs/>
          <w:b/>
        </w:rPr>
        <w:t xml:space="preserve">Category 12: End-of-Life Treatment of Sold Products (Downstream)</w:t>
      </w:r>
      <w:r>
        <w:t xml:space="preserve">: -2.21 kgCO2e.</w:t>
      </w:r>
    </w:p>
    <w:p>
      <w:pPr>
        <w:pStyle w:val="FirstParagraph"/>
      </w:pPr>
      <w:r>
        <w:t xml:space="preserve">The analysis covers key Scope 3 categories including raw material acquisition, manufacturing-related transportation, product use-phase, and end-of-life, aiming for over 95% coverage as per 2026 GHG Protocol requirements.</w:t>
      </w:r>
    </w:p>
    <w:bookmarkEnd w:id="32"/>
    <w:bookmarkEnd w:id="33"/>
    <w:bookmarkStart w:id="34" w:name="X7ef73fe3d39a8d84fae696b42f814aa0d860ec0"/>
    <w:p>
      <w:pPr>
        <w:pStyle w:val="Heading3"/>
      </w:pPr>
      <w:r>
        <w:t xml:space="preserve">3.3. 2026 LSR Update (Land Sector and Removals Standard)</w:t>
      </w:r>
    </w:p>
    <w:p>
      <w:pPr>
        <w:pStyle w:val="FirstParagraph"/>
      </w:pPr>
      <w:r>
        <w:t xml:space="preserve">The analysis conceptually integrates the principles of the 2026 GHG Protocol Land Sector and Removals (LSR) Standard. The LSR Standard, effective January 1, 2027, provides crucial guidance for accounting for land sector emissions (e.g., land use change, land management, biogenic products) and CO2 removals, including technological removals. While specific land-use change data for product components were not directly available in the provided parameters, the methodology acknowledges the importance of accounting for land-based emissions and removals in a comprehensive assessment. Future iterations will aim to incorporate more granular LSR data as it becomes available and as the standard becomes mandatory.</w:t>
      </w:r>
    </w:p>
    <w:p>
      <w:r>
        <w:pict>
          <v:rect style="width:0;height:1.5pt" o:hralign="center" o:hrstd="t" o:hr="t"/>
        </w:pict>
      </w:r>
    </w:p>
    <w:bookmarkEnd w:id="34"/>
    <w:bookmarkEnd w:id="35"/>
    <w:bookmarkStart w:id="40" w:name="review-report"/>
    <w:p>
      <w:pPr>
        <w:pStyle w:val="Heading2"/>
      </w:pPr>
      <w:r>
        <w:t xml:space="preserve">4. Review &amp; Report</w:t>
      </w:r>
    </w:p>
    <w:bookmarkStart w:id="36" w:name="hotspots-analysis"/>
    <w:p>
      <w:pPr>
        <w:pStyle w:val="Heading3"/>
      </w:pPr>
      <w:r>
        <w:t xml:space="preserve">4.1. Hotspots Analysis</w:t>
      </w:r>
    </w:p>
    <w:p>
      <w:pPr>
        <w:pStyle w:val="FirstParagraph"/>
      </w:pPr>
      <w:r>
        <w:t xml:space="preserve">The following are the key emission hotspots for \'tkjifllwti\' across its lifecycle:</w:t>
      </w:r>
    </w:p>
    <w:p>
      <w:pPr>
        <w:numPr>
          <w:ilvl w:val="0"/>
          <w:numId w:val="1004"/>
        </w:numPr>
        <w:pStyle w:val="Compact"/>
      </w:pPr>
      <w:r>
        <w:rPr>
          <w:bCs/>
          <w:b/>
        </w:rPr>
        <w:t xml:space="preserve">Use Phase Energy Consumption:</w:t>
      </w:r>
      <w:r>
        <w:t xml:space="preserve"> </w:t>
      </w:r>
      <w:r>
        <w:t xml:space="preserve">With 15.00 kgCO2e, the energy consumed during the product\'s 5-year lifespan is the largest contributor to the overall footprint. This highlights the importance of energy efficiency and renewable energy access for end-users.</w:t>
      </w:r>
    </w:p>
    <w:p>
      <w:pPr>
        <w:numPr>
          <w:ilvl w:val="0"/>
          <w:numId w:val="1004"/>
        </w:numPr>
        <w:pStyle w:val="Compact"/>
      </w:pPr>
      <w:r>
        <w:rPr>
          <w:bCs/>
          <w:b/>
        </w:rPr>
        <w:t xml:space="preserve">Material Acquisition &amp; Processing:</w:t>
      </w:r>
      <w:r>
        <w:t xml:space="preserve"> </w:t>
      </w:r>
      <w:r>
        <w:t xml:space="preserve">Accounting for 5.65 kgCO2e, the raw materials, particularly aluminum and electronic components, represent a significant upstream impact. This suggests opportunities for using lower-carbon materials or increasing recycled content.</w:t>
      </w:r>
    </w:p>
    <w:p>
      <w:pPr>
        <w:numPr>
          <w:ilvl w:val="0"/>
          <w:numId w:val="1004"/>
        </w:numPr>
        <w:pStyle w:val="Compact"/>
      </w:pPr>
      <w:r>
        <w:rPr>
          <w:bCs/>
          <w:b/>
        </w:rPr>
        <w:t xml:space="preserve">Manufacturing Energy:</w:t>
      </w:r>
      <w:r>
        <w:t xml:space="preserve"> </w:t>
      </w:r>
      <w:r>
        <w:t xml:space="preserve">While lower than the use phase, the 1.20 kgCO2e from non-renewable electricity in manufacturing is an area for improvement by increasing renewable energy adoption at the production facility in China.</w:t>
      </w:r>
    </w:p>
    <w:bookmarkEnd w:id="36"/>
    <w:bookmarkStart w:id="37" w:name="reliability-and-limitations"/>
    <w:p>
      <w:pPr>
        <w:pStyle w:val="Heading3"/>
      </w:pPr>
      <w:r>
        <w:t xml:space="preserve">4.2. Reliability and Limitations</w:t>
      </w:r>
    </w:p>
    <w:p>
      <w:pPr>
        <w:pStyle w:val="FirstParagraph"/>
      </w:pPr>
      <w:r>
        <w:t xml:space="preserve">The reliability of this PCF analysis is contingent upon the accuracy of the provided BOM data and assumed illustrative emission factors. The use of industry-standard emission factors and a structured GHG Protocol methodology enhances comparability and consistency. Primary data for specific processes and supplier-specific emission factors would further improve accuracy. The assumptions made for placeholder data (e.g., transport distances, specific EoL credits, and generic electricity grid factors for use phase) introduce a level of estimation, which is clearly noted throughout the report.</w:t>
      </w:r>
    </w:p>
    <w:bookmarkEnd w:id="37"/>
    <w:bookmarkStart w:id="39" w:name="recommendations-for-emission-reduction"/>
    <w:p>
      <w:pPr>
        <w:pStyle w:val="Heading3"/>
      </w:pPr>
      <w:r>
        <w:t xml:space="preserve">4.3. Recommendations for Emission Reduction</w:t>
      </w:r>
    </w:p>
    <w:p>
      <w:pPr>
        <w:pStyle w:val="FirstParagraph"/>
      </w:pPr>
      <w:r>
        <w:t xml:space="preserve">Based on this analysis, kjwexzkvts can focus on the following areas to reduce the product\'s carbon footprint:</w:t>
      </w:r>
    </w:p>
    <w:p>
      <w:pPr>
        <w:numPr>
          <w:ilvl w:val="0"/>
          <w:numId w:val="1005"/>
        </w:numPr>
        <w:pStyle w:val="Compact"/>
      </w:pPr>
      <w:r>
        <w:rPr>
          <w:bCs/>
          <w:b/>
        </w:rPr>
        <w:t xml:space="preserve">Enhance Product Energy Efficiency:</w:t>
      </w:r>
      <w:r>
        <w:t xml:space="preserve"> </w:t>
      </w:r>
      <w:r>
        <w:t xml:space="preserve">Redesign \'tkjifllwti\' for lower energy consumption during its use phase, which is currently the largest hotspot.</w:t>
      </w:r>
    </w:p>
    <w:p>
      <w:pPr>
        <w:numPr>
          <w:ilvl w:val="0"/>
          <w:numId w:val="1005"/>
        </w:numPr>
        <w:pStyle w:val="Compact"/>
      </w:pPr>
      <w:r>
        <w:rPr>
          <w:bCs/>
          <w:b/>
        </w:rPr>
        <w:t xml:space="preserve">Increase Renewable Energy Sourcing:</w:t>
      </w:r>
      <w:r>
        <w:t xml:space="preserve"> </w:t>
      </w:r>
      <w:r>
        <w:t xml:space="preserve">Further invest in or procure 100% renewable energy for manufacturing operations in China to eliminate Scope 2 emissions.</w:t>
      </w:r>
    </w:p>
    <w:p>
      <w:pPr>
        <w:numPr>
          <w:ilvl w:val="0"/>
          <w:numId w:val="1005"/>
        </w:numPr>
        <w:pStyle w:val="Compact"/>
      </w:pPr>
      <w:r>
        <w:rPr>
          <w:bCs/>
          <w:b/>
        </w:rPr>
        <w:t xml:space="preserve">Optimize Material Sourcing:</w:t>
      </w:r>
      <w:r>
        <w:t xml:space="preserve"> </w:t>
      </w:r>
      <w:r>
        <w:t xml:space="preserve">Explore and prioritize suppliers offering lower-carbon materials or increased recycled content for components like aluminum and plastics.</w:t>
      </w:r>
    </w:p>
    <w:p>
      <w:pPr>
        <w:numPr>
          <w:ilvl w:val="0"/>
          <w:numId w:val="1005"/>
        </w:numPr>
        <w:pStyle w:val="Compact"/>
      </w:pPr>
      <w:r>
        <w:rPr>
          <w:bCs/>
          <w:b/>
        </w:rPr>
        <w:t xml:space="preserve">Strengthen Circularity Initiatives:</w:t>
      </w:r>
      <w:r>
        <w:t xml:space="preserve"> </w:t>
      </w:r>
      <w:r>
        <w:t xml:space="preserve">Leverage and expand circular programs, like the existing take-back system, to maximize material recovery, reuse, and recycling rates beyond 80%.</w:t>
      </w:r>
    </w:p>
    <w:p>
      <w:pPr>
        <w:numPr>
          <w:ilvl w:val="0"/>
          <w:numId w:val="1005"/>
        </w:numPr>
        <w:pStyle w:val="Compact"/>
      </w:pPr>
      <w:r>
        <w:rPr>
          <w:bCs/>
          <w:b/>
        </w:rPr>
        <w:t xml:space="preserve">Supply Chain Engagement:</w:t>
      </w:r>
      <w:r>
        <w:t xml:space="preserve"> </w:t>
      </w:r>
      <w:r>
        <w:t xml:space="preserve">Collaborate with upstream and downstream logistics partners to explore more efficient and lower-carbon transport modes where feasible.</w:t>
      </w:r>
    </w:p>
    <w:p>
      <w:r>
        <w:pict>
          <v:rect style="width:0;height:1.5pt" o:hralign="center" o:hrstd="t" o:hr="t"/>
        </w:pict>
      </w:r>
    </w:p>
    <w:p>
      <w:pPr>
        <w:pStyle w:val="FirstParagraph"/>
      </w:pPr>
      <w:r>
        <w:t xml:space="preserve">Confidential - Internal Use Only | Page</w:t>
      </w:r>
      <w:r>
        <w:t xml:space="preserve"> </w:t>
      </w:r>
      <w:bookmarkStart w:id="38" w:name="pageNumber"/>
      <w:bookmarkEnd w:id="38"/>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tkjifllwti</dc:title>
  <dc:creator/>
  <dc:description>Detailed Product Carbon Footprint (PCF) analysis report for tkjifllwti by kjwexzkvts, adhering to GHG Protocol and 2026 LSR update.</dc:description>
  <dc:language>en</dc:language>
  <cp:keywords/>
  <dcterms:created xsi:type="dcterms:W3CDTF">2026-05-30T20:12:10Z</dcterms:created>
  <dcterms:modified xsi:type="dcterms:W3CDTF">2026-05-30T20:12:10Z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