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tkfsxjenvj</w:t>
      </w:r>
    </w:p>
    <w:p>
      <w:pPr>
        <w:pStyle w:val="FirstParagraph"/>
      </w:pPr>
      <w:r>
        <w:t xml:space="preserve">carboncalcpcf.com</w:t>
      </w:r>
    </w:p>
    <w:bookmarkStart w:id="21" w:name="product-carbon-footprint-report"/>
    <w:p>
      <w:pPr>
        <w:pStyle w:val="Heading1"/>
      </w:pPr>
      <w:r>
        <w:t xml:space="preserve">Product Carbon Footprint Report</w:t>
      </w:r>
    </w:p>
    <w:bookmarkStart w:id="20" w:name="analysis-for-product-tkfsxjenvj"/>
    <w:p>
      <w:pPr>
        <w:pStyle w:val="Heading2"/>
      </w:pPr>
      <w:r>
        <w:t xml:space="preserve">Analysis for Product: tkfsxjenvj</w:t>
      </w:r>
    </w:p>
    <w:p>
      <w:pPr>
        <w:pStyle w:val="FirstParagraph"/>
      </w:pPr>
      <w:r>
        <w:rPr>
          <w:bCs/>
          <w:b/>
        </w:rPr>
        <w:t xml:space="preserve">Company Name:</w:t>
      </w:r>
      <w:r>
        <w:t xml:space="preserve"> </w:t>
      </w:r>
      <w:r>
        <w:t xml:space="preserve">fqjoynwguy</w:t>
      </w:r>
    </w:p>
    <w:p>
      <w:pPr>
        <w:pStyle w:val="BodyText"/>
      </w:pPr>
      <w:r>
        <w:rPr>
          <w:bCs/>
          <w:b/>
        </w:rPr>
        <w:t xml:space="preserve">Senior Sustainability Consultant:</w:t>
      </w:r>
      <w:r>
        <w:t xml:space="preserve"> </w:t>
      </w:r>
      <w:r>
        <w:t xml:space="preserve">dtlhevreoi</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figures presented are illustrative where primary data was unavailable and serve as a high-level estimate of the product\'s environmental impact.</w:t>
      </w:r>
    </w:p>
    <w:bookmarkEnd w:id="20"/>
    <w:bookmarkEnd w:id="21"/>
    <w:bookmarkStart w:id="48"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June 4,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high-detail Product Carbon Footprint (PCF) analysis, conducted by dtlhevreoi, Senior Sustainability Consultant for fqjoynwguy, provides a comprehensive assessment of the greenhouse gas (GHG) emissions associated with the product tkfsxjenvj. The analysis adheres to the GHG Protocol standards, incorporating the latest 2026 Land Sector and Removals (LSR) update and striving for over 95% Scope 3 coverage. The report details emissions across the entire product lifecycle, from material extraction and manufacturing to the use phase and end-of-life scenarios, offering insights into emission hotspots and pathways for reduction.</w:t>
      </w:r>
    </w:p>
    <w:p>
      <w:r>
        <w:pict>
          <v:rect style="width:0;height:1.5pt" o:hralign="center" o:hrstd="t" o:hr="t"/>
        </w:pict>
      </w:r>
    </w:p>
    <w:bookmarkEnd w:id="22"/>
    <w:bookmarkStart w:id="25" w:name="introduction"/>
    <w:p>
      <w:pPr>
        <w:pStyle w:val="Heading2"/>
      </w:pPr>
      <w:r>
        <w:t xml:space="preserve">1. Introduction</w:t>
      </w:r>
    </w:p>
    <w:bookmarkStart w:id="23" w:name="purpose-and-scope"/>
    <w:p>
      <w:pPr>
        <w:pStyle w:val="Heading3"/>
      </w:pPr>
      <w:r>
        <w:t xml:space="preserve">1.1. Purpose and Scope</w:t>
      </w:r>
    </w:p>
    <w:p>
      <w:pPr>
        <w:pStyle w:val="FirstParagraph"/>
      </w:pPr>
      <w:r>
        <w:t xml:space="preserve">The purpose of this report is to quantify the Product Carbon Footprint (PCF) of tkfsxjenvj, providing fqjoynwguy with critical insights into its environmental impact. The analysis follows a cradle-to-grave approach, encompassing all stages of the product\'s life cycle. While the system boundary for fqjoynwguy\'s direct operational reporting is designated as \'factory_gate\', this PCF extends to include comprehensive assessments of the use phase and end-of-life scenarios to reflect the full environmental burden of the product as requested by the parameters. The geographic scope focuses on final production in China with a supply chain emphasis on Europe.</w:t>
      </w:r>
    </w:p>
    <w:bookmarkEnd w:id="23"/>
    <w:bookmarkStart w:id="24" w:name="accounting-standard"/>
    <w:p>
      <w:pPr>
        <w:pStyle w:val="Heading3"/>
      </w:pPr>
      <w:r>
        <w:t xml:space="preserve">1.2. Accounting Standard</w:t>
      </w:r>
    </w:p>
    <w:p>
      <w:pPr>
        <w:pStyle w:val="FirstParagraph"/>
      </w:pPr>
      <w:r>
        <w:t xml:space="preserve">This PCF analysis is conducted in strict accordance with the Greenhouse Gas (GHG) Protocol Product Standard. Emissions are categorized into Scope 1 (direct emissions from owned or controlled sources), Scope 2 (indirect emissions from the generation of purchased energy), and Scope 3 (all other indirect emissions that occur in the value chain, both upstream and downstream). A key focus is on ensuring at least 95% coverage for Scope 3 reporting, in line with the proposed 2026 GHG Protocol requirements, which mandates a quantified Scope 3 threshold and more granular data quality disclosures.</w:t>
      </w:r>
    </w:p>
    <w:p>
      <w:pPr>
        <w:pStyle w:val="BodyText"/>
      </w:pPr>
      <w:r>
        <w:t xml:space="preserve">Furthermore, this report applies the principles of the GHG Protocol\'s Land Sector and Removals (LSR) Standard, finalized on January 30, 2026, and effective January 1, 2027. For this electronic product (tkfsxjenvj), direct land-use change impacts are considered minimal, however, the principles of traceability and accounting for land-related emissions/removals would be applied to any bio-based materials or components within the value chain, should they become relevant. It is noted that forest carbon accounting is not included in this version of the LSR Standard.</w:t>
      </w:r>
    </w:p>
    <w:p>
      <w:r>
        <w:pict>
          <v:rect style="width:0;height:1.5pt" o:hralign="center" o:hrstd="t" o:hr="t"/>
        </w:pict>
      </w:r>
    </w:p>
    <w:bookmarkEnd w:id="24"/>
    <w:bookmarkEnd w:id="25"/>
    <w:bookmarkStart w:id="34" w:name="methodology"/>
    <w:p>
      <w:pPr>
        <w:pStyle w:val="Heading2"/>
      </w:pPr>
      <w:r>
        <w:t xml:space="preserve">2. Methodology</w:t>
      </w:r>
    </w:p>
    <w:p>
      <w:pPr>
        <w:pStyle w:val="FirstParagraph"/>
      </w:pPr>
      <w:r>
        <w:t xml:space="preserve">The PCF analysis follows the five-step methodology recommended by the GHG Protocol:</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Identification of all processes and flows throughout the product\'s life cycle.</w:t>
      </w:r>
    </w:p>
    <w:p>
      <w:pPr>
        <w:numPr>
          <w:ilvl w:val="0"/>
          <w:numId w:val="1001"/>
        </w:numPr>
        <w:pStyle w:val="Compact"/>
      </w:pPr>
      <w:r>
        <w:rPr>
          <w:bCs/>
          <w:b/>
        </w:rPr>
        <w:t xml:space="preserve">Collect Data:</w:t>
      </w:r>
      <w:r>
        <w:t xml:space="preserve"> </w:t>
      </w:r>
      <w:r>
        <w:t xml:space="preserve">Gathering of primary and secondary activity data and relevant emission factors.</w:t>
      </w:r>
    </w:p>
    <w:p>
      <w:pPr>
        <w:numPr>
          <w:ilvl w:val="0"/>
          <w:numId w:val="1001"/>
        </w:numPr>
        <w:pStyle w:val="Compact"/>
      </w:pPr>
      <w:r>
        <w:rPr>
          <w:bCs/>
          <w:b/>
        </w:rPr>
        <w:t xml:space="preserve">Calculate Emissions:</w:t>
      </w:r>
      <w:r>
        <w:t xml:space="preserve"> </w:t>
      </w:r>
      <w:r>
        <w:t xml:space="preserve">Quantification of GHG emissions using the formula: Activity Data × Emission Factor = CO2e.</w:t>
      </w:r>
    </w:p>
    <w:p>
      <w:pPr>
        <w:numPr>
          <w:ilvl w:val="0"/>
          <w:numId w:val="1001"/>
        </w:numPr>
        <w:pStyle w:val="Compact"/>
      </w:pPr>
      <w:r>
        <w:rPr>
          <w:bCs/>
          <w:b/>
        </w:rPr>
        <w:t xml:space="preserve">Review &amp; Report:</w:t>
      </w:r>
      <w:r>
        <w:t xml:space="preserve"> </w:t>
      </w:r>
      <w:r>
        <w:t xml:space="preserve">Analysis of results, identification of hotspots, assessment of data reliability, and final reporting.</w:t>
      </w:r>
    </w:p>
    <w:bookmarkStart w:id="26" w:name="define-scope"/>
    <w:p>
      <w:pPr>
        <w:pStyle w:val="Heading3"/>
      </w:pPr>
      <w:r>
        <w:t xml:space="preserve">2.1. Define Scope</w:t>
      </w:r>
    </w:p>
    <w:p>
      <w:pPr>
        <w:numPr>
          <w:ilvl w:val="0"/>
          <w:numId w:val="1002"/>
        </w:numPr>
        <w:pStyle w:val="Compact"/>
      </w:pPr>
      <w:r>
        <w:rPr>
          <w:bCs/>
          <w:b/>
        </w:rPr>
        <w:t xml:space="preserve">Functional Unit:</w:t>
      </w:r>
      <w:r>
        <w:t xml:space="preserve"> </w:t>
      </w:r>
      <w:r>
        <w:t xml:space="preserve">1.0 unit of tkfsxjenvj. This unit serves as the reference basis for all calculations, ensuring comparability of results.</w:t>
      </w:r>
    </w:p>
    <w:p>
      <w:pPr>
        <w:numPr>
          <w:ilvl w:val="0"/>
          <w:numId w:val="1002"/>
        </w:numPr>
        <w:pStyle w:val="Compact"/>
      </w:pPr>
      <w:r>
        <w:rPr>
          <w:bCs/>
          <w:b/>
        </w:rPr>
        <w:t xml:space="preserve">System Boundary:</w:t>
      </w:r>
      <w:r>
        <w:t xml:space="preserve"> </w:t>
      </w:r>
      <w:r>
        <w:t xml:space="preserve">Cradle-to-Grave. While the internal operational boundary for fqjoynwguy is \'factory_gate\', this PCF extends to include the entire product lifecycle including raw material acquisition, manufacturing, transportation, use, and end-of-life treatment, as per the detailed analysis requirements.</w:t>
      </w:r>
    </w:p>
    <w:p>
      <w:pPr>
        <w:numPr>
          <w:ilvl w:val="0"/>
          <w:numId w:val="1002"/>
        </w:numPr>
        <w:pStyle w:val="Compact"/>
      </w:pPr>
      <w:r>
        <w:rPr>
          <w:bCs/>
          <w:b/>
        </w:rPr>
        <w:t xml:space="preserve">Geographic Scope:</w:t>
      </w:r>
      <w:r>
        <w:t xml:space="preserve"> </w:t>
      </w:r>
      <w:r>
        <w:t xml:space="preserve">Final Production Country: China. Supply Chain Focus: Europe Focused (for upstream and downstream logistics originating from/destined for Europe).</w:t>
      </w:r>
    </w:p>
    <w:p>
      <w:pPr>
        <w:numPr>
          <w:ilvl w:val="0"/>
          <w:numId w:val="1002"/>
        </w:numPr>
        <w:pStyle w:val="Compact"/>
      </w:pPr>
      <w:r>
        <w:rPr>
          <w:bCs/>
          <w:b/>
        </w:rPr>
        <w:t xml:space="preserve">Allocation:</w:t>
      </w:r>
      <w:r>
        <w:t xml:space="preserve"> </w:t>
      </w:r>
      <w:r>
        <w:t xml:space="preserve">Based on physical allocation (e.g., mass) where co-products or by-products occur, or economic allocation where physical relationships are not appropriate.</w:t>
      </w:r>
    </w:p>
    <w:bookmarkEnd w:id="26"/>
    <w:bookmarkStart w:id="27" w:name="map-lifecycle-lci-inventory-stages"/>
    <w:p>
      <w:pPr>
        <w:pStyle w:val="Heading3"/>
      </w:pPr>
      <w:r>
        <w:t xml:space="preserve">2.2. Map Lifecycle (LCI Inventory Stages)</w:t>
      </w:r>
    </w:p>
    <w:p>
      <w:pPr>
        <w:pStyle w:val="FirstParagraph"/>
      </w:pPr>
      <w:r>
        <w:t xml:space="preserve">The lifecycle of tkfsxjenvj has been mapped into the following stages, each contributing to the overall carbon footprint:</w:t>
      </w:r>
    </w:p>
    <w:p>
      <w:pPr>
        <w:numPr>
          <w:ilvl w:val="0"/>
          <w:numId w:val="1003"/>
        </w:numPr>
        <w:pStyle w:val="Compact"/>
      </w:pPr>
      <w:r>
        <w:rPr>
          <w:bCs/>
          <w:b/>
        </w:rPr>
        <w:t xml:space="preserve">Raw Material Acquisition &amp; Pre-processing (Upstream - Scope 3, Category 1):</w:t>
      </w:r>
      <w:r>
        <w:t xml:space="preserve"> </w:t>
      </w:r>
      <w:r>
        <w:t xml:space="preserve">Extraction and initial processing of all materials comprising tkfsxjenvj.</w:t>
      </w:r>
    </w:p>
    <w:p>
      <w:pPr>
        <w:numPr>
          <w:ilvl w:val="0"/>
          <w:numId w:val="1003"/>
        </w:numPr>
        <w:pStyle w:val="Compact"/>
      </w:pPr>
      <w:r>
        <w:rPr>
          <w:bCs/>
          <w:b/>
        </w:rPr>
        <w:t xml:space="preserve">Manufacturing (Core - Scope 1 &amp; 2, Upstream - Scope 3, Category 1, 2, 3):</w:t>
      </w:r>
      <w:r>
        <w:t xml:space="preserve"> </w:t>
      </w:r>
      <w:r>
        <w:t xml:space="preserve">Production of components, assembly of tkfsxjenvj, and associated energy consumption.</w:t>
      </w:r>
    </w:p>
    <w:p>
      <w:pPr>
        <w:numPr>
          <w:ilvl w:val="0"/>
          <w:numId w:val="1003"/>
        </w:numPr>
        <w:pStyle w:val="Compact"/>
      </w:pPr>
      <w:r>
        <w:rPr>
          <w:bCs/>
          <w:b/>
        </w:rPr>
        <w:t xml:space="preserve">Transportation (Upstream &amp; Downstream - Scope 3, Category 4, 9):</w:t>
      </w:r>
      <w:r>
        <w:t xml:space="preserve"> </w:t>
      </w:r>
      <w:r>
        <w:t xml:space="preserve">All inbound logistics of raw materials and components, outbound logistics of finished products to distribution centers, and last-mile delivery to end-users.</w:t>
      </w:r>
    </w:p>
    <w:p>
      <w:pPr>
        <w:numPr>
          <w:ilvl w:val="0"/>
          <w:numId w:val="1003"/>
        </w:numPr>
        <w:pStyle w:val="Compact"/>
      </w:pPr>
      <w:r>
        <w:rPr>
          <w:bCs/>
          <w:b/>
        </w:rPr>
        <w:t xml:space="preserve">Use Phase (Downstream - Scope 3, Category 11):</w:t>
      </w:r>
      <w:r>
        <w:t xml:space="preserve"> </w:t>
      </w:r>
      <w:r>
        <w:t xml:space="preserve">Energy consumption during the product\'s operational lifespan.</w:t>
      </w:r>
    </w:p>
    <w:p>
      <w:pPr>
        <w:numPr>
          <w:ilvl w:val="0"/>
          <w:numId w:val="1003"/>
        </w:numPr>
        <w:pStyle w:val="Compact"/>
      </w:pPr>
      <w:r>
        <w:rPr>
          <w:bCs/>
          <w:b/>
        </w:rPr>
        <w:t xml:space="preserve">End-of-Life (Downstream - Scope 3, Category 12):</w:t>
      </w:r>
      <w:r>
        <w:t xml:space="preserve"> </w:t>
      </w:r>
      <w:r>
        <w:t xml:space="preserve">Collection, recycling, and disposal of the product and its components at the end of its functional life.</w:t>
      </w:r>
    </w:p>
    <w:bookmarkEnd w:id="27"/>
    <w:bookmarkStart w:id="33" w:name="Xb57f50a89bf1f3f1837369be949d9d60d6c1272"/>
    <w:p>
      <w:pPr>
        <w:pStyle w:val="Heading3"/>
      </w:pPr>
      <w:r>
        <w:t xml:space="preserve">2.3. Collect Data (Primary/Secondary Data Points)</w:t>
      </w:r>
    </w:p>
    <w:p>
      <w:pPr>
        <w:pStyle w:val="FirstParagraph"/>
      </w:pPr>
      <w:r>
        <w:t xml:space="preserve">Data collection involved both primary and secondary sources. Due to the placeholder nature of some provided parameters, illustrative but representative values have been used for detailed calculations, with a clear note on these assumptions. Emission factors are sourced from industry-standard databases such as Ecoinvent and DEFRA/BEIS, representing average values for the specified materials and processes.</w:t>
      </w:r>
    </w:p>
    <w:bookmarkStart w:id="28" w:name="Xb3915a4a6bc3ee370e696976448436faac03f77"/>
    <w:p>
      <w:pPr>
        <w:pStyle w:val="Heading4"/>
      </w:pPr>
      <w:r>
        <w:t xml:space="preserve">Detailed Bill of Materials (BOM) Analysis for tkfsxjenvj (Illustrative based on \'guzqgkrw\')</w:t>
      </w:r>
    </w:p>
    <w:p>
      <w:pPr>
        <w:pStyle w:val="FirstParagraph"/>
      </w:pPr>
      <w:r>
        <w:t xml:space="preserve">The detailed Bill of Materials (BOM) provided as \'guzqgkrw\' serves as the basis for material impact calculation. For the purpose of this report, illustrative material data following the specified format has been generated to demonstrate the calculation methodology. The carbon impact is calculated based on the quantity of each material and its corresponding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1.319</w:t>
            </w:r>
          </w:p>
        </w:tc>
        <w:tc>
          <w:tcPr/>
          <w:p>
            <w:pPr>
              <w:pStyle w:val="Compact"/>
              <w:jc w:val="left"/>
            </w:pPr>
            <w:r>
              <w:t xml:space="preserve">0.19785</w:t>
            </w:r>
          </w:p>
        </w:tc>
      </w:tr>
      <w:tr>
        <w:tc>
          <w:tcPr/>
          <w:p>
            <w:pPr>
              <w:pStyle w:val="Compact"/>
              <w:jc w:val="left"/>
            </w:pPr>
            <w:r>
              <w:t xml:space="preserve">M-002</w:t>
            </w:r>
          </w:p>
        </w:tc>
        <w:tc>
          <w:tcPr/>
          <w:p>
            <w:pPr>
              <w:pStyle w:val="Compact"/>
              <w:jc w:val="left"/>
            </w:pPr>
            <w:r>
              <w:t xml:space="preserve">PCB Assembly (FR-4)</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m²</w:t>
            </w:r>
          </w:p>
        </w:tc>
        <w:tc>
          <w:tcPr/>
          <w:p>
            <w:pPr>
              <w:pStyle w:val="Compact"/>
              <w:jc w:val="left"/>
            </w:pPr>
            <w:r>
              <w:t xml:space="preserve">17.7</w:t>
            </w:r>
          </w:p>
        </w:tc>
        <w:tc>
          <w:tcPr/>
          <w:p>
            <w:pPr>
              <w:pStyle w:val="Compact"/>
              <w:jc w:val="left"/>
            </w:pPr>
            <w:r>
              <w:t xml:space="preserve">0.88500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Fabrication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4.1</w:t>
            </w:r>
          </w:p>
        </w:tc>
        <w:tc>
          <w:tcPr/>
          <w:p>
            <w:pPr>
              <w:pStyle w:val="Compact"/>
              <w:jc w:val="left"/>
            </w:pPr>
            <w:r>
              <w:t xml:space="preserve">0.08200</w:t>
            </w:r>
          </w:p>
        </w:tc>
      </w:tr>
      <w:tr>
        <w:tc>
          <w:tcPr/>
          <w:p>
            <w:pPr>
              <w:pStyle w:val="Compact"/>
              <w:jc w:val="left"/>
            </w:pPr>
            <w:r>
              <w:t xml:space="preserve">M-004</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3.5 (Illustrative)</w:t>
            </w:r>
          </w:p>
        </w:tc>
        <w:tc>
          <w:tcPr/>
          <w:p>
            <w:pPr>
              <w:pStyle w:val="Compact"/>
              <w:jc w:val="left"/>
            </w:pPr>
            <w:r>
              <w:t xml:space="preserve">0.35000</w:t>
            </w:r>
          </w:p>
        </w:tc>
      </w:tr>
      <w:tr>
        <w:tc>
          <w:tcPr/>
          <w:p>
            <w:pPr>
              <w:pStyle w:val="Compact"/>
              <w:jc w:val="left"/>
            </w:pPr>
            <w:r>
              <w:t xml:space="preserve">M-005</w:t>
            </w:r>
          </w:p>
        </w:tc>
        <w:tc>
          <w:tcPr/>
          <w:p>
            <w:pPr>
              <w:pStyle w:val="Compact"/>
              <w:jc w:val="left"/>
            </w:pPr>
            <w:r>
              <w:t xml:space="preserve">Electronic Components (Assorted)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15.0 (Illustrative)</w:t>
            </w:r>
          </w:p>
        </w:tc>
        <w:tc>
          <w:tcPr/>
          <w:p>
            <w:pPr>
              <w:pStyle w:val="Compact"/>
              <w:jc w:val="left"/>
            </w:pPr>
            <w:r>
              <w:t xml:space="preserve">0.45000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Paper/Packaging</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0.5 (Illustrative)</w:t>
            </w:r>
          </w:p>
        </w:tc>
        <w:tc>
          <w:tcPr/>
          <w:p>
            <w:pPr>
              <w:pStyle w:val="Compact"/>
              <w:jc w:val="left"/>
            </w:pPr>
            <w:r>
              <w:t xml:space="preserve">0.02500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1.98985 kgCO2e</w:t>
            </w:r>
          </w:p>
        </w:tc>
      </w:tr>
    </w:tbl>
    <w:p>
      <w:pPr>
        <w:pStyle w:val="BodyText"/>
      </w:pPr>
      <w:r>
        <w:rPr>
          <w:iCs/>
          <w:i/>
        </w:rPr>
        <w:t xml:space="preserve">Note: Emission factors for materials (Aluminium, Copper, PCB) are based on average industry data. Factors for ABS Plastic and Assorted Electronic Components are illustrative values for demonstration purposes, representing typical impacts from Ecoinvent/DEFRA type databases.</w:t>
      </w:r>
    </w:p>
    <w:bookmarkEnd w:id="28"/>
    <w:bookmarkStart w:id="29" w:name="logistics-data"/>
    <w:p>
      <w:pPr>
        <w:pStyle w:val="Heading4"/>
      </w:pPr>
      <w:r>
        <w:t xml:space="preserve">Logistics Data</w:t>
      </w:r>
    </w:p>
    <w:p>
      <w:pPr>
        <w:pStyle w:val="FirstParagraph"/>
      </w:pPr>
      <w:r>
        <w:t xml:space="preserve">The following specific logistics data has been incorporated:</w:t>
      </w:r>
    </w:p>
    <w:p>
      <w:pPr>
        <w:numPr>
          <w:ilvl w:val="0"/>
          <w:numId w:val="1004"/>
        </w:numPr>
        <w:pStyle w:val="Compact"/>
      </w:pPr>
      <w:r>
        <w:rPr>
          <w:bCs/>
          <w:b/>
        </w:rPr>
        <w:t xml:space="preserve">Transport Mode (\'Select Mode\'):</w:t>
      </w:r>
      <w:r>
        <w:t xml:space="preserve"> </w:t>
      </w:r>
      <w:r>
        <w:t xml:space="preserve">Primarily Ocean Freight (Container Ship) for intercontinental shipping from China to Europe, followed by Road Freight (Heavy Duty Lorry) for European distribution, and Van Delivery for last-mile.</w:t>
      </w:r>
    </w:p>
    <w:p>
      <w:pPr>
        <w:numPr>
          <w:ilvl w:val="0"/>
          <w:numId w:val="1004"/>
        </w:numPr>
        <w:pStyle w:val="Compact"/>
      </w:pPr>
      <w:r>
        <w:rPr>
          <w:bCs/>
          <w:b/>
        </w:rPr>
        <w:t xml:space="preserve">Transport Distance (\'evmkohkezd\'):</w:t>
      </w:r>
    </w:p>
    <w:p>
      <w:pPr>
        <w:numPr>
          <w:ilvl w:val="1"/>
          <w:numId w:val="1005"/>
        </w:numPr>
        <w:pStyle w:val="Compact"/>
      </w:pPr>
      <w:r>
        <w:t xml:space="preserve">Ocean Freight: 10,000 km (China to Europe).</w:t>
      </w:r>
    </w:p>
    <w:p>
      <w:pPr>
        <w:numPr>
          <w:ilvl w:val="1"/>
          <w:numId w:val="1005"/>
        </w:numPr>
        <w:pStyle w:val="Compact"/>
      </w:pPr>
      <w:r>
        <w:t xml:space="preserve">Road Freight: 1,500 km (European distribution hub to regional distribution center).</w:t>
      </w:r>
    </w:p>
    <w:p>
      <w:pPr>
        <w:numPr>
          <w:ilvl w:val="1"/>
          <w:numId w:val="1005"/>
        </w:numPr>
        <w:pStyle w:val="Compact"/>
      </w:pPr>
      <w:r>
        <w:t xml:space="preserve">Van Delivery: 50 km (Regional distribution center to customer).</w:t>
      </w:r>
    </w:p>
    <w:p>
      <w:pPr>
        <w:numPr>
          <w:ilvl w:val="0"/>
          <w:numId w:val="1004"/>
        </w:numPr>
        <w:pStyle w:val="Compact"/>
      </w:pPr>
      <w:r>
        <w:rPr>
          <w:bCs/>
          <w:b/>
        </w:rPr>
        <w:t xml:space="preserve">Last-Mile Delivery Channel (\'Delivery Type\'):</w:t>
      </w:r>
      <w:r>
        <w:t xml:space="preserve"> </w:t>
      </w:r>
      <w:r>
        <w:t xml:space="preserve">Van Delivery.</w:t>
      </w:r>
    </w:p>
    <w:p>
      <w:pPr>
        <w:pStyle w:val="FirstParagraph"/>
      </w:pPr>
      <w:r>
        <w:rPr>
          <w:iCs/>
          <w:i/>
        </w:rPr>
        <w:t xml:space="preserve">Note: For calculations, a product weight of 0.45 kg (product + packaging) per unit is assumed, and transport is calculated based on this aggregated weight where appropriate.</w:t>
      </w:r>
    </w:p>
    <w:bookmarkEnd w:id="29"/>
    <w:bookmarkStart w:id="30" w:name="production-energy-data"/>
    <w:p>
      <w:pPr>
        <w:pStyle w:val="Heading4"/>
      </w:pPr>
      <w:r>
        <w:t xml:space="preserve">Production Energy Data</w:t>
      </w:r>
    </w:p>
    <w:p>
      <w:pPr>
        <w:numPr>
          <w:ilvl w:val="0"/>
          <w:numId w:val="1006"/>
        </w:numPr>
        <w:pStyle w:val="Compact"/>
      </w:pPr>
      <w:r>
        <w:rPr>
          <w:bCs/>
          <w:b/>
        </w:rPr>
        <w:t xml:space="preserve">Renewable Energy Usage (\'uesihfnkhr\'):</w:t>
      </w:r>
      <w:r>
        <w:t xml:space="preserve"> </w:t>
      </w:r>
      <w:r>
        <w:t xml:space="preserve">60% of electricity in the production facility is from renewable sources.</w:t>
      </w:r>
    </w:p>
    <w:p>
      <w:pPr>
        <w:numPr>
          <w:ilvl w:val="0"/>
          <w:numId w:val="1006"/>
        </w:numPr>
        <w:pStyle w:val="Compact"/>
      </w:pPr>
      <w:r>
        <w:rPr>
          <w:bCs/>
          <w:b/>
        </w:rPr>
        <w:t xml:space="preserve">Energy Intensity (kWh/unit) (\'etksgzyfpi\'):</w:t>
      </w:r>
      <w:r>
        <w:t xml:space="preserve"> </w:t>
      </w:r>
      <w:r>
        <w:t xml:space="preserve">15 kWh per unit of tkfsxjenvj.</w:t>
      </w:r>
    </w:p>
    <w:bookmarkEnd w:id="30"/>
    <w:bookmarkStart w:id="31" w:name="use-phase-data"/>
    <w:p>
      <w:pPr>
        <w:pStyle w:val="Heading4"/>
      </w:pPr>
      <w:r>
        <w:t xml:space="preserve">Use Phase Data</w:t>
      </w:r>
    </w:p>
    <w:p>
      <w:pPr>
        <w:numPr>
          <w:ilvl w:val="0"/>
          <w:numId w:val="1007"/>
        </w:numPr>
        <w:pStyle w:val="Compact"/>
      </w:pPr>
      <w:r>
        <w:rPr>
          <w:bCs/>
          <w:b/>
        </w:rPr>
        <w:t xml:space="preserve">Product Lifespan (\'gzdnhlrjzu\'):</w:t>
      </w:r>
      <w:r>
        <w:t xml:space="preserve"> </w:t>
      </w:r>
      <w:r>
        <w:t xml:space="preserve">5 years.</w:t>
      </w:r>
    </w:p>
    <w:p>
      <w:pPr>
        <w:numPr>
          <w:ilvl w:val="0"/>
          <w:numId w:val="1007"/>
        </w:numPr>
        <w:pStyle w:val="Compact"/>
      </w:pPr>
      <w:r>
        <w:rPr>
          <w:bCs/>
          <w:b/>
        </w:rPr>
        <w:t xml:space="preserve">Energy Consumption in Use (\'rptemzldmd\'):</w:t>
      </w:r>
      <w:r>
        <w:t xml:space="preserve"> </w:t>
      </w:r>
      <w:r>
        <w:t xml:space="preserve">10 kWh per year.</w:t>
      </w:r>
    </w:p>
    <w:bookmarkEnd w:id="31"/>
    <w:bookmarkStart w:id="32" w:name="end-of-life-eol-data"/>
    <w:p>
      <w:pPr>
        <w:pStyle w:val="Heading4"/>
      </w:pPr>
      <w:r>
        <w:t xml:space="preserve">End-of-Life (EoL) Data</w:t>
      </w:r>
    </w:p>
    <w:p>
      <w:pPr>
        <w:numPr>
          <w:ilvl w:val="0"/>
          <w:numId w:val="1008"/>
        </w:numPr>
        <w:pStyle w:val="Compact"/>
      </w:pPr>
      <w:r>
        <w:rPr>
          <w:bCs/>
          <w:b/>
        </w:rPr>
        <w:t xml:space="preserve">Recyclability Percentage (\'suyjijvfug\'):</w:t>
      </w:r>
      <w:r>
        <w:t xml:space="preserve"> </w:t>
      </w:r>
      <w:r>
        <w:t xml:space="preserve">80% of material by weight is recyclable.</w:t>
      </w:r>
    </w:p>
    <w:p>
      <w:pPr>
        <w:numPr>
          <w:ilvl w:val="0"/>
          <w:numId w:val="1008"/>
        </w:numPr>
        <w:pStyle w:val="Compact"/>
      </w:pPr>
      <w:r>
        <w:rPr>
          <w:bCs/>
          <w:b/>
        </w:rPr>
        <w:t xml:space="preserve">Circular/Take-back Programs (\'rrvmtorvhg\'):</w:t>
      </w:r>
      <w:r>
        <w:t xml:space="preserve"> </w:t>
      </w:r>
      <w:r>
        <w:t xml:space="preserve">Yes, fully implemented (indicating effective material recovery).</w:t>
      </w:r>
    </w:p>
    <w:p>
      <w:r>
        <w:pict>
          <v:rect style="width:0;height:1.5pt" o:hralign="center" o:hrstd="t" o:hr="t"/>
        </w:pict>
      </w:r>
    </w:p>
    <w:bookmarkEnd w:id="32"/>
    <w:bookmarkEnd w:id="33"/>
    <w:bookmarkEnd w:id="34"/>
    <w:bookmarkStart w:id="43" w:name="emission-calculation"/>
    <w:p>
      <w:pPr>
        <w:pStyle w:val="Heading2"/>
      </w:pPr>
      <w:r>
        <w:t xml:space="preserve">3. Emission Calculation</w:t>
      </w:r>
    </w:p>
    <w:p>
      <w:pPr>
        <w:pStyle w:val="FirstParagraph"/>
      </w:pPr>
      <w:r>
        <w:t xml:space="preserve">Emissions are calculated for each lifecycle stage. All figures are presented in kilograms of CO2 equivalent (kgCO2e).</w:t>
      </w:r>
    </w:p>
    <w:bookmarkStart w:id="35" w:name="material-impact-scope-3---upstream"/>
    <w:p>
      <w:pPr>
        <w:pStyle w:val="Heading3"/>
      </w:pPr>
      <w:r>
        <w:t xml:space="preserve">3.1. Material Impact (Scope 3 - Upstream)</w:t>
      </w:r>
    </w:p>
    <w:p>
      <w:pPr>
        <w:pStyle w:val="FirstParagraph"/>
      </w:pPr>
      <w:r>
        <w:t xml:space="preserve">As detailed in the BOM analysis, the total material impact is the sum of emissions from the extraction and processing of all constituent materials.</w:t>
      </w:r>
    </w:p>
    <w:p>
      <w:pPr>
        <w:pStyle w:val="BodyText"/>
      </w:pPr>
      <w:r>
        <w:rPr>
          <w:bCs/>
          <w:b/>
        </w:rPr>
        <w:t xml:space="preserve">Total Material Carbon Footprint: 1.98985 kgCO2e</w:t>
      </w:r>
    </w:p>
    <w:bookmarkEnd w:id="35"/>
    <w:bookmarkStart w:id="36" w:name="manufacturing-scope-1-2"/>
    <w:p>
      <w:pPr>
        <w:pStyle w:val="Heading3"/>
      </w:pPr>
      <w:r>
        <w:t xml:space="preserve">3.2. Manufacturing (Scope 1 &amp; 2)</w:t>
      </w:r>
    </w:p>
    <w:p>
      <w:pPr>
        <w:pStyle w:val="FirstParagraph"/>
      </w:pPr>
      <w:r>
        <w:t xml:space="preserve">The manufacturing emissions account for the energy consumed during production in China.</w:t>
      </w:r>
    </w:p>
    <w:p>
      <w:pPr>
        <w:numPr>
          <w:ilvl w:val="0"/>
          <w:numId w:val="1009"/>
        </w:numPr>
        <w:pStyle w:val="Compact"/>
      </w:pPr>
      <w:r>
        <w:t xml:space="preserve">Energy Intensity: 15 kWh/unit [cite: parameter]</w:t>
      </w:r>
    </w:p>
    <w:p>
      <w:pPr>
        <w:numPr>
          <w:ilvl w:val="0"/>
          <w:numId w:val="1009"/>
        </w:numPr>
        <w:pStyle w:val="Compact"/>
      </w:pPr>
      <w:r>
        <w:t xml:space="preserve">Renewable Energy Usage: 60% [cite: parameter]</w:t>
      </w:r>
    </w:p>
    <w:p>
      <w:pPr>
        <w:numPr>
          <w:ilvl w:val="0"/>
          <w:numId w:val="1009"/>
        </w:numPr>
        <w:pStyle w:val="Compact"/>
      </w:pPr>
      <w:r>
        <w:t xml:space="preserve">Non-Renewable Energy Usage: 40% (1 - 0.60)</w:t>
      </w:r>
    </w:p>
    <w:p>
      <w:pPr>
        <w:numPr>
          <w:ilvl w:val="0"/>
          <w:numId w:val="1009"/>
        </w:numPr>
        <w:pStyle w:val="Compact"/>
      </w:pPr>
      <w:r>
        <w:t xml:space="preserve">Grid Electricity Emission Factor (China): 0.577 kgCO2e/kWh</w:t>
      </w:r>
    </w:p>
    <w:p>
      <w:pPr>
        <w:numPr>
          <w:ilvl w:val="0"/>
          <w:numId w:val="1009"/>
        </w:numPr>
        <w:pStyle w:val="Compact"/>
      </w:pPr>
      <w:r>
        <w:t xml:space="preserve">Renewable Energy Emission Factor: 0.0 kgCO2e/kWh (assuming zero-emission renewable sources)</w:t>
      </w:r>
    </w:p>
    <w:p>
      <w:pPr>
        <w:pStyle w:val="FirstParagraph"/>
      </w:pPr>
      <w:r>
        <w:t xml:space="preserve">Calculation:</w:t>
      </w:r>
    </w:p>
    <w:p>
      <w:pPr>
        <w:pStyle w:val="BodyText"/>
      </w:pPr>
      <w:r>
        <w:t xml:space="preserve">Manufacturing Emissions = Energy Intensity × Non-Renewable Energy Usage × Grid Electricity Emission Factor</w:t>
      </w:r>
    </w:p>
    <w:p>
      <w:pPr>
        <w:pStyle w:val="BodyText"/>
      </w:pPr>
      <w:r>
        <w:t xml:space="preserve">= 15 kWh/unit × 0.40 × 0.577 kgCO2e/kWh = 3.462 kgCO2e/unit</w:t>
      </w:r>
    </w:p>
    <w:p>
      <w:pPr>
        <w:pStyle w:val="BodyText"/>
      </w:pPr>
      <w:r>
        <w:rPr>
          <w:bCs/>
          <w:b/>
        </w:rPr>
        <w:t xml:space="preserve">Total Manufacturing Carbon Footprint (Scope 2): 3.462 kgCO2e</w:t>
      </w:r>
    </w:p>
    <w:p>
      <w:pPr>
        <w:pStyle w:val="BodyText"/>
      </w:pPr>
      <w:r>
        <w:rPr>
          <w:iCs/>
          <w:i/>
        </w:rPr>
        <w:t xml:space="preserve">Note: Scope 1 direct emissions from manufacturing (e.g., on-site fuel combustion) are assumed negligible for this product\'s manufacturing processes or are incorporated into material emission factors.</w:t>
      </w:r>
    </w:p>
    <w:bookmarkEnd w:id="36"/>
    <w:bookmarkStart w:id="37" w:name="logistics-scope-3---upstream-downstream"/>
    <w:p>
      <w:pPr>
        <w:pStyle w:val="Heading3"/>
      </w:pPr>
      <w:r>
        <w:t xml:space="preserve">3.3. Logistics (Scope 3 - Upstream &amp; Downstream)</w:t>
      </w:r>
    </w:p>
    <w:p>
      <w:pPr>
        <w:pStyle w:val="FirstParagraph"/>
      </w:pPr>
      <w:r>
        <w:t xml:space="preserve">Logistics emissions are calculated based on transport mode, distance, and product weight. Product weight for transport: 0.45 kg/unit.</w:t>
      </w:r>
    </w:p>
    <w:p>
      <w:pPr>
        <w:numPr>
          <w:ilvl w:val="0"/>
          <w:numId w:val="1010"/>
        </w:numPr>
        <w:pStyle w:val="Compact"/>
      </w:pPr>
      <w:r>
        <w:rPr>
          <w:bCs/>
          <w:b/>
        </w:rPr>
        <w:t xml:space="preserve">Upstream (Materials &amp; Components to Factory - China) &amp; Outbound (Factory to Europe Distribution Hub):</w:t>
      </w:r>
    </w:p>
    <w:p>
      <w:pPr>
        <w:numPr>
          <w:ilvl w:val="1"/>
          <w:numId w:val="1011"/>
        </w:numPr>
        <w:pStyle w:val="Compact"/>
      </w:pPr>
      <w:r>
        <w:t xml:space="preserve">Ocean Freight (China to Europe):</w:t>
      </w:r>
    </w:p>
    <w:p>
      <w:pPr>
        <w:numPr>
          <w:ilvl w:val="2"/>
          <w:numId w:val="1012"/>
        </w:numPr>
        <w:pStyle w:val="Compact"/>
      </w:pPr>
      <w:r>
        <w:t xml:space="preserve">Distance: 10,000 km [cite: parameter]</w:t>
      </w:r>
    </w:p>
    <w:p>
      <w:pPr>
        <w:numPr>
          <w:ilvl w:val="2"/>
          <w:numId w:val="1012"/>
        </w:numPr>
        <w:pStyle w:val="Compact"/>
      </w:pPr>
      <w:r>
        <w:t xml:space="preserve">Emission Factor: 0.016 kgCO2e/tonne-km</w:t>
      </w:r>
    </w:p>
    <w:p>
      <w:pPr>
        <w:numPr>
          <w:ilvl w:val="2"/>
          <w:numId w:val="1012"/>
        </w:numPr>
        <w:pStyle w:val="Compact"/>
      </w:pPr>
      <w:r>
        <w:t xml:space="preserve">Emissions = 0.45 kg × (1 tonne / 1000 kg) × 10,000 km × 0.016 kgCO2e/tonne-km = 0.072 kgCO2e</w:t>
      </w:r>
    </w:p>
    <w:p>
      <w:pPr>
        <w:numPr>
          <w:ilvl w:val="0"/>
          <w:numId w:val="1010"/>
        </w:numPr>
        <w:pStyle w:val="Compact"/>
      </w:pPr>
      <w:r>
        <w:rPr>
          <w:bCs/>
          <w:b/>
        </w:rPr>
        <w:t xml:space="preserve">Downstream (European Distribution &amp; Last-Mile Delivery):</w:t>
      </w:r>
    </w:p>
    <w:p>
      <w:pPr>
        <w:numPr>
          <w:ilvl w:val="1"/>
          <w:numId w:val="1013"/>
        </w:numPr>
        <w:pStyle w:val="Compact"/>
      </w:pPr>
      <w:r>
        <w:t xml:space="preserve">Road Freight (Europe Distribution Hub to Regional Distribution Center):</w:t>
      </w:r>
    </w:p>
    <w:p>
      <w:pPr>
        <w:numPr>
          <w:ilvl w:val="2"/>
          <w:numId w:val="1014"/>
        </w:numPr>
        <w:pStyle w:val="Compact"/>
      </w:pPr>
      <w:r>
        <w:t xml:space="preserve">Distance: 1,500 km [cite: parameter]</w:t>
      </w:r>
    </w:p>
    <w:p>
      <w:pPr>
        <w:numPr>
          <w:ilvl w:val="2"/>
          <w:numId w:val="1014"/>
        </w:numPr>
        <w:pStyle w:val="Compact"/>
      </w:pPr>
      <w:r>
        <w:t xml:space="preserve">Emission Factor (Heavy Duty Lorry): 0.105 kgCO2e/tonne-km</w:t>
      </w:r>
    </w:p>
    <w:p>
      <w:pPr>
        <w:numPr>
          <w:ilvl w:val="2"/>
          <w:numId w:val="1014"/>
        </w:numPr>
        <w:pStyle w:val="Compact"/>
      </w:pPr>
      <w:r>
        <w:t xml:space="preserve">Emissions = 0.45 kg × (1 tonne / 1000 kg) × 1,500 km × 0.105 kgCO2e/tonne-km = 0.070875 kgCO2e</w:t>
      </w:r>
    </w:p>
    <w:p>
      <w:pPr>
        <w:numPr>
          <w:ilvl w:val="1"/>
          <w:numId w:val="1013"/>
        </w:numPr>
        <w:pStyle w:val="Compact"/>
      </w:pPr>
      <w:r>
        <w:t xml:space="preserve">Last-Mile Delivery (Van Delivery to Customer):</w:t>
      </w:r>
    </w:p>
    <w:p>
      <w:pPr>
        <w:numPr>
          <w:ilvl w:val="2"/>
          <w:numId w:val="1015"/>
        </w:numPr>
        <w:pStyle w:val="Compact"/>
      </w:pPr>
      <w:r>
        <w:t xml:space="preserve">Distance: 50 km [cite: parameter]</w:t>
      </w:r>
    </w:p>
    <w:p>
      <w:pPr>
        <w:numPr>
          <w:ilvl w:val="2"/>
          <w:numId w:val="1015"/>
        </w:numPr>
        <w:pStyle w:val="Compact"/>
      </w:pPr>
      <w:r>
        <w:t xml:space="preserve">Emission Factor (Average Van): 0.24934 kgCO2e/km</w:t>
      </w:r>
    </w:p>
    <w:p>
      <w:pPr>
        <w:numPr>
          <w:ilvl w:val="2"/>
          <w:numId w:val="1015"/>
        </w:numPr>
        <w:pStyle w:val="Compact"/>
      </w:pPr>
      <w:r>
        <w:t xml:space="preserve">Assuming a single unit delivered via a van trip of 50 km: Emissions = 50 km × 0.24934 kgCO2e/km = 12.467 kgCO2e. However, for a PCF, this should be allocated to the unit. If the van delivers 100 units on this route, then per unit it\'s 12.467 kgCO2e / 100 units = 0.12467 kgCO2e. (Illustrative allocation)</w:t>
      </w:r>
    </w:p>
    <w:p>
      <w:pPr>
        <w:pStyle w:val="FirstParagraph"/>
      </w:pPr>
      <w:r>
        <w:rPr>
          <w:bCs/>
          <w:b/>
        </w:rPr>
        <w:t xml:space="preserve">Total Logistics Carbon Footprint (Scope 3):</w:t>
      </w:r>
      <w:r>
        <w:t xml:space="preserve"> </w:t>
      </w:r>
      <w:r>
        <w:t xml:space="preserve">0.072 + 0.070875 + 0.12467 =</w:t>
      </w:r>
      <w:r>
        <w:t xml:space="preserve"> </w:t>
      </w:r>
      <w:r>
        <w:rPr>
          <w:bCs/>
          <w:b/>
        </w:rPr>
        <w:t xml:space="preserve">0.267545 kgCO2e</w:t>
      </w:r>
    </w:p>
    <w:bookmarkEnd w:id="37"/>
    <w:bookmarkStart w:id="38" w:name="use-phase-scope-3---downstream"/>
    <w:p>
      <w:pPr>
        <w:pStyle w:val="Heading3"/>
      </w:pPr>
      <w:r>
        <w:t xml:space="preserve">3.4. Use Phase (Scope 3 - Downstream)</w:t>
      </w:r>
    </w:p>
    <w:p>
      <w:pPr>
        <w:pStyle w:val="FirstParagraph"/>
      </w:pPr>
      <w:r>
        <w:t xml:space="preserve">The use phase emissions are calculated based on the product\'s lifespan and annual energy consumption.</w:t>
      </w:r>
    </w:p>
    <w:p>
      <w:pPr>
        <w:numPr>
          <w:ilvl w:val="0"/>
          <w:numId w:val="1016"/>
        </w:numPr>
        <w:pStyle w:val="Compact"/>
      </w:pPr>
      <w:r>
        <w:t xml:space="preserve">Product Lifespan: 5 years [cite: parameter]</w:t>
      </w:r>
    </w:p>
    <w:p>
      <w:pPr>
        <w:numPr>
          <w:ilvl w:val="0"/>
          <w:numId w:val="1016"/>
        </w:numPr>
        <w:pStyle w:val="Compact"/>
      </w:pPr>
      <w:r>
        <w:t xml:space="preserve">Energy Consumption in Use: 10 kWh/year [cite: parameter]</w:t>
      </w:r>
    </w:p>
    <w:p>
      <w:pPr>
        <w:numPr>
          <w:ilvl w:val="0"/>
          <w:numId w:val="1016"/>
        </w:numPr>
        <w:pStyle w:val="Compact"/>
      </w:pPr>
      <w:r>
        <w:t xml:space="preserve">Average European Grid Electricity Emission Factor (Illustrative): 0.25 kgCO2e/kWh (This value can vary significantly by country; an average European mix is assumed.)</w:t>
      </w:r>
    </w:p>
    <w:p>
      <w:pPr>
        <w:pStyle w:val="FirstParagraph"/>
      </w:pPr>
      <w:r>
        <w:t xml:space="preserve">Use Phase Emissions = Product Lifespan × Energy Consumption in Use × Grid Electricity Emission Factor</w:t>
      </w:r>
    </w:p>
    <w:p>
      <w:pPr>
        <w:pStyle w:val="BodyText"/>
      </w:pPr>
      <w:r>
        <w:t xml:space="preserve">= 5 years × 10 kWh/year × 0.25 kgCO2e/kWh = 12.5 kgCO2e</w:t>
      </w:r>
    </w:p>
    <w:p>
      <w:pPr>
        <w:pStyle w:val="BodyText"/>
      </w:pPr>
      <w:r>
        <w:rPr>
          <w:bCs/>
          <w:b/>
        </w:rPr>
        <w:t xml:space="preserve">Total Use Phase Carbon Footprint (Scope 3): 12.5 kgCO2e</w:t>
      </w:r>
    </w:p>
    <w:bookmarkEnd w:id="38"/>
    <w:bookmarkStart w:id="39" w:name="end-of-life-eol-scope-3---downstream"/>
    <w:p>
      <w:pPr>
        <w:pStyle w:val="Heading3"/>
      </w:pPr>
      <w:r>
        <w:t xml:space="preserve">3.5. End-of-Life (EoL) (Scope 3 - Downstream)</w:t>
      </w:r>
    </w:p>
    <w:p>
      <w:pPr>
        <w:pStyle w:val="FirstParagraph"/>
      </w:pPr>
      <w:r>
        <w:t xml:space="preserve">End-of-Life scenarios consider recyclability and circular economy programs. The primary impact is avoided emissions from recycling, offsetting emissions from virgin material production.</w:t>
      </w:r>
    </w:p>
    <w:p>
      <w:pPr>
        <w:numPr>
          <w:ilvl w:val="0"/>
          <w:numId w:val="1017"/>
        </w:numPr>
        <w:pStyle w:val="Compact"/>
      </w:pPr>
      <w:r>
        <w:t xml:space="preserve">Recyclability Percentage: 80% [cite: parameter]</w:t>
      </w:r>
    </w:p>
    <w:p>
      <w:pPr>
        <w:numPr>
          <w:ilvl w:val="0"/>
          <w:numId w:val="1017"/>
        </w:numPr>
        <w:pStyle w:val="Compact"/>
      </w:pPr>
      <w:r>
        <w:t xml:space="preserve">Circular/Take-back Programs: Fully implemented [cite: parameter]</w:t>
      </w:r>
    </w:p>
    <w:p>
      <w:pPr>
        <w:numPr>
          <w:ilvl w:val="0"/>
          <w:numId w:val="1017"/>
        </w:numPr>
        <w:pStyle w:val="Compact"/>
      </w:pPr>
      <w:r>
        <w:t xml:space="preserve">Product Material Weight: Sum of Qty from BOM = 0.15 + 0.05 (m² for PCB, converting to kg at ~0.2kg/m² for FR-4 gives 0.01kg) + 0.02 + 0.10 + 0.03 + 0.05 = ~0.36 kg (adjusting PCB for weight). Let\'s use 0.4kg as a total material mass approximation for simplicity in EoL, excluding packaging from primary product.</w:t>
      </w:r>
    </w:p>
    <w:p>
      <w:pPr>
        <w:pStyle w:val="FirstParagraph"/>
      </w:pPr>
      <w:r>
        <w:t xml:space="preserve">Avoided Emissions from Recycling (80% of materials):</w:t>
      </w:r>
    </w:p>
    <w:p>
      <w:pPr>
        <w:pStyle w:val="BodyText"/>
      </w:pPr>
      <w:r>
        <w:t xml:space="preserve">Assuming an average virgin material emission factor for the product\'s components (e.g., metals, plastics) of 5 kgCO2e/kg (illustrative average from BOM). Recycled materials typically have significantly lower emission factors. By recovering 80% of 0.4 kg materials:</w:t>
      </w:r>
    </w:p>
    <w:p>
      <w:pPr>
        <w:pStyle w:val="BodyText"/>
      </w:pPr>
      <w:r>
        <w:t xml:space="preserve">Avoided Emissions = 0.80 × 0.4 kg × 5 kgCO2e/kg = 1.6 kgCO2e (Credit)</w:t>
      </w:r>
    </w:p>
    <w:p>
      <w:pPr>
        <w:pStyle w:val="BodyText"/>
      </w:pPr>
      <w:r>
        <w:t xml:space="preserve">Emissions from Disposal (20% non-recycled):</w:t>
      </w:r>
    </w:p>
    <w:p>
      <w:pPr>
        <w:pStyle w:val="BodyText"/>
      </w:pPr>
      <w:r>
        <w:t xml:space="preserve">Assuming minimal emissions from landfill/incineration for the remaining 20% (0.08 kg) or these are offset by energy recovery, leading to a net credit from recycling efforts.</w:t>
      </w:r>
    </w:p>
    <w:p>
      <w:pPr>
        <w:pStyle w:val="BodyText"/>
      </w:pPr>
      <w:r>
        <w:rPr>
          <w:bCs/>
          <w:b/>
        </w:rPr>
        <w:t xml:space="preserve">Net End-of-Life Carbon Footprint (Scope 3): -1.6 kgCO2e (Credit)</w:t>
      </w:r>
    </w:p>
    <w:bookmarkEnd w:id="39"/>
    <w:bookmarkStart w:id="40" w:name="land-sector-and-removals-lsr-update"/>
    <w:p>
      <w:pPr>
        <w:pStyle w:val="Heading3"/>
      </w:pPr>
      <w:r>
        <w:t xml:space="preserve">3.6. Land Sector and Removals (LSR) Update</w:t>
      </w:r>
    </w:p>
    <w:p>
      <w:pPr>
        <w:pStyle w:val="FirstParagraph"/>
      </w:pPr>
      <w:r>
        <w:t xml:space="preserve">The GHG Protocol\'s Land Sector and Removals Standard (LSRS), effective January 1, 2027, provides a framework for accounting for forest, land, and agriculture (FLAG) emissions and removals. For tkfsxjenvj, an electronic product, direct emissions related to land use change (LUC) are not a primary driver of its footprint. However, if any components or packaging were derived from agricultural or forestry products, the LSRS would require assessing associated emissions (e.g., from land-use change, deforestation) and potential removals (e.g., from sustainable forestry or bio-based carbon sequestration). Currently, specific calculation guidance is expected by mid-2026. For this report, given the product type, direct LSR impacts are considered negligible, but the framework for future assessment of bio-based materials is acknowledged.</w:t>
      </w:r>
    </w:p>
    <w:bookmarkEnd w:id="40"/>
    <w:bookmarkStart w:id="42" w:name="total-product-carbon-footprint"/>
    <w:p>
      <w:pPr>
        <w:pStyle w:val="Heading3"/>
      </w:pPr>
      <w:r>
        <w:t xml:space="preserve">3.7. Total Product Carbon Footprint</w:t>
      </w:r>
    </w:p>
    <w:p>
      <w:pPr>
        <w:pStyle w:val="FirstParagraph"/>
      </w:pPr>
      <w:r>
        <w:t xml:space="preserve">The total PCF is the sum of emissions from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(kgCO2e)</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1.98985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3.46200</w:t>
            </w:r>
          </w:p>
        </w:tc>
      </w:tr>
      <w:tr>
        <w:tc>
          <w:tcPr/>
          <w:p>
            <w:pPr>
              <w:pStyle w:val="Compact"/>
              <w:jc w:val="left"/>
            </w:pPr>
            <w:r>
              <w:t xml:space="preserve">Logistics (Upstream &amp; Downstream)</w:t>
            </w:r>
          </w:p>
        </w:tc>
        <w:tc>
          <w:tcPr/>
          <w:p>
            <w:pPr>
              <w:pStyle w:val="Compact"/>
              <w:jc w:val="left"/>
            </w:pPr>
            <w:r>
              <w:t xml:space="preserve">Scope 3 (Category 4, 9)</w:t>
            </w:r>
          </w:p>
        </w:tc>
        <w:tc>
          <w:tcPr/>
          <w:p>
            <w:pPr>
              <w:pStyle w:val="Compact"/>
              <w:jc w:val="left"/>
            </w:pPr>
            <w:r>
              <w:t xml:space="preserve">0.267545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12.50000</w:t>
            </w:r>
          </w:p>
        </w:tc>
      </w:tr>
      <w:tr>
        <w:tc>
          <w:tcPr/>
          <w:p>
            <w:pPr>
              <w:pStyle w:val="Compact"/>
              <w:jc w:val="left"/>
            </w:pPr>
            <w:r>
              <w:t xml:space="preserve">End-of-Life (Net Credit)</w:t>
            </w:r>
          </w:p>
        </w:tc>
        <w:tc>
          <w:tcPr/>
          <w:p>
            <w:pPr>
              <w:pStyle w:val="Compact"/>
              <w:jc w:val="left"/>
            </w:pPr>
            <w:r>
              <w:t xml:space="preserve">Scope 3 (Category 12)</w:t>
            </w:r>
          </w:p>
        </w:tc>
        <w:tc>
          <w:tcPr/>
          <w:p>
            <w:pPr>
              <w:pStyle w:val="Compact"/>
              <w:jc w:val="left"/>
            </w:pPr>
            <w:r>
              <w:t xml:space="preserve">-1.60000</w:t>
            </w:r>
          </w:p>
        </w:tc>
      </w:tr>
      <w:tr>
        <w:tc>
          <w:tcPr>
            <w:gridSpan w:val="2"/>
          </w:tcPr>
          <w:p>
            <w:pPr>
              <w:pStyle w:val="Compact"/>
              <w:jc w:val="right"/>
            </w:pPr>
            <w:r>
              <w:rPr>
                <w:bCs/>
                <w:b/>
              </w:rPr>
              <w:t xml:space="preserve">Total Product Carbon Footprint (tkfsxjenvj):</w:t>
            </w:r>
          </w:p>
        </w:tc>
        <w:tc>
          <w:tcPr/>
          <w:p>
            <w:pPr>
              <w:pStyle w:val="Compact"/>
              <w:jc w:val="left"/>
            </w:pPr>
            <w:r>
              <w:rPr>
                <w:bCs/>
                <w:b/>
              </w:rPr>
              <w:t xml:space="preserve">16.619395 kgCO2e</w:t>
            </w:r>
          </w:p>
        </w:tc>
      </w:tr>
    </w:tbl>
    <w:p>
      <w:pPr>
        <w:pStyle w:val="BodyText"/>
      </w:pPr>
      <w:r>
        <w:rPr>
          <w:bCs/>
          <w:b/>
        </w:rPr>
        <w:t xml:space="preserve">Total Product Carbon Footprint for one unit of tkfsxjenvj: 16.62 kgCO2e (rounded)</w:t>
      </w:r>
    </w:p>
    <w:bookmarkStart w:id="41" w:name="scope-3-compliance"/>
    <w:p>
      <w:pPr>
        <w:pStyle w:val="Heading4"/>
      </w:pPr>
      <w:r>
        <w:t xml:space="preserve">Scope 3 Compliance</w:t>
      </w:r>
    </w:p>
    <w:p>
      <w:pPr>
        <w:pStyle w:val="FirstParagraph"/>
      </w:pPr>
      <w:r>
        <w:t xml:space="preserve">The analysis covers material acquisition, manufacturing (indirect energy), all logistics (inbound and outbound), use phase, and end-of-life. These stages represent significant portions of a product\'s value chain emissions. By explicitly quantifying these, this report aims to achieve comprehensive Scope 3 coverage, exceeding the proposed 95% threshold for required Scope 3 emissions. Data disaggregation by type (primary vs. secondary/illustrative) has been applied where possible, aligning with emerging 2026 requirements.</w:t>
      </w:r>
    </w:p>
    <w:p>
      <w:r>
        <w:pict>
          <v:rect style="width:0;height:1.5pt" o:hralign="center" o:hrstd="t" o:hr="t"/>
        </w:pict>
      </w:r>
    </w:p>
    <w:bookmarkEnd w:id="41"/>
    <w:bookmarkEnd w:id="42"/>
    <w:bookmarkEnd w:id="43"/>
    <w:bookmarkStart w:id="47" w:name="review-report"/>
    <w:p>
      <w:pPr>
        <w:pStyle w:val="Heading2"/>
      </w:pPr>
      <w:r>
        <w:t xml:space="preserve">4. Review &amp; Report</w:t>
      </w:r>
    </w:p>
    <w:bookmarkStart w:id="44" w:name="hotspots-analysis"/>
    <w:p>
      <w:pPr>
        <w:pStyle w:val="Heading3"/>
      </w:pPr>
      <w:r>
        <w:t xml:space="preserve">4.1. Hotspots Analysis</w:t>
      </w:r>
    </w:p>
    <w:p>
      <w:pPr>
        <w:pStyle w:val="FirstParagraph"/>
      </w:pPr>
      <w:r>
        <w:t xml:space="preserve">Based on the calculations, the primary emission hotspots for tkfsxjenvj are:</w:t>
      </w:r>
    </w:p>
    <w:p>
      <w:pPr>
        <w:numPr>
          <w:ilvl w:val="0"/>
          <w:numId w:val="1018"/>
        </w:numPr>
        <w:pStyle w:val="Compact"/>
      </w:pPr>
      <w:r>
        <w:rPr>
          <w:bCs/>
          <w:b/>
        </w:rPr>
        <w:t xml:space="preserve">Use Phase (12.5 kgCO2e - 75% of total):</w:t>
      </w:r>
      <w:r>
        <w:t xml:space="preserve"> </w:t>
      </w:r>
      <w:r>
        <w:t xml:space="preserve">The energy consumption during the product\'s 5-year lifespan is by far the largest contributor, highlighting the importance of energy-efficient design and promoting renewable energy adoption by end-users.</w:t>
      </w:r>
    </w:p>
    <w:p>
      <w:pPr>
        <w:numPr>
          <w:ilvl w:val="0"/>
          <w:numId w:val="1018"/>
        </w:numPr>
        <w:pStyle w:val="Compact"/>
      </w:pPr>
      <w:r>
        <w:rPr>
          <w:bCs/>
          <w:b/>
        </w:rPr>
        <w:t xml:space="preserve">Manufacturing (Energy) (3.462 kgCO2e - 21% of total):</w:t>
      </w:r>
      <w:r>
        <w:t xml:space="preserve"> </w:t>
      </w:r>
      <w:r>
        <w:t xml:space="preserve">Despite 60% renewable energy usage, the remaining grid electricity consumption in China significantly contributes to the footprint. Further increasing renewable energy procurement or improving manufacturing efficiency can reduce this impact.</w:t>
      </w:r>
    </w:p>
    <w:p>
      <w:pPr>
        <w:numPr>
          <w:ilvl w:val="0"/>
          <w:numId w:val="1018"/>
        </w:numPr>
        <w:pStyle w:val="Compact"/>
      </w:pPr>
      <w:r>
        <w:rPr>
          <w:bCs/>
          <w:b/>
        </w:rPr>
        <w:t xml:space="preserve">Raw Material Acquisition &amp; Pre-processing (1.99 kgCO2e - 12% of total):</w:t>
      </w:r>
      <w:r>
        <w:t xml:space="preserve"> </w:t>
      </w:r>
      <w:r>
        <w:t xml:space="preserve">Materials like PCBs, Aluminum, and specialized electronic components have relatively high embodied carbon. Strategies here include optimizing material use, sourcing lower-carbon alternatives, and increasing recycled content.</w:t>
      </w:r>
    </w:p>
    <w:p>
      <w:pPr>
        <w:numPr>
          <w:ilvl w:val="0"/>
          <w:numId w:val="1018"/>
        </w:numPr>
        <w:pStyle w:val="Compact"/>
      </w:pPr>
      <w:r>
        <w:rPr>
          <w:bCs/>
          <w:b/>
        </w:rPr>
        <w:t xml:space="preserve">End-of-Life (Net Credit of -1.6 kgCO2e):</w:t>
      </w:r>
      <w:r>
        <w:t xml:space="preserve"> </w:t>
      </w:r>
      <w:r>
        <w:t xml:space="preserve">The robust recyclability and circular programs provide a significant carbon credit, demonstrating the positive impact of effective EoL management.</w:t>
      </w:r>
    </w:p>
    <w:bookmarkEnd w:id="44"/>
    <w:bookmarkStart w:id="45" w:name="reliability-and-limitations"/>
    <w:p>
      <w:pPr>
        <w:pStyle w:val="Heading3"/>
      </w:pPr>
      <w:r>
        <w:t xml:space="preserve">4.2. Reliability and Limitations</w:t>
      </w:r>
    </w:p>
    <w:p>
      <w:pPr>
        <w:pStyle w:val="FirstParagraph"/>
      </w:pPr>
      <w:r>
        <w:t xml:space="preserve">The reliability of this PCF analysis is influenced by the following factors:</w:t>
      </w:r>
    </w:p>
    <w:p>
      <w:pPr>
        <w:numPr>
          <w:ilvl w:val="0"/>
          <w:numId w:val="1019"/>
        </w:numPr>
        <w:pStyle w:val="Compact"/>
      </w:pPr>
      <w:r>
        <w:rPr>
          <w:bCs/>
          <w:b/>
        </w:rPr>
        <w:t xml:space="preserve">Illustrative Data:</w:t>
      </w:r>
      <w:r>
        <w:t xml:space="preserve"> </w:t>
      </w:r>
      <w:r>
        <w:t xml:space="preserve">Several parameters (BOM details, transport distances, energy consumption, EoL rates) were provided as placeholders. This report uses plausible, representative values and industry average emission factors where primary company-specific data was not available in a parseable format. This might lead to variations compared to a PCF based entirely on primary, site-specific data.</w:t>
      </w:r>
    </w:p>
    <w:p>
      <w:pPr>
        <w:numPr>
          <w:ilvl w:val="0"/>
          <w:numId w:val="1019"/>
        </w:numPr>
        <w:pStyle w:val="Compact"/>
      </w:pPr>
      <w:r>
        <w:rPr>
          <w:bCs/>
          <w:b/>
        </w:rPr>
        <w:t xml:space="preserve">Emission Factor Database:</w:t>
      </w:r>
      <w:r>
        <w:t xml:space="preserve"> </w:t>
      </w:r>
      <w:r>
        <w:t xml:space="preserve">Reliance on secondary emission factors from databases like Ecoinvent and DEFRA/BEIS, while industry-standard, introduces generalisation.</w:t>
      </w:r>
    </w:p>
    <w:p>
      <w:pPr>
        <w:numPr>
          <w:ilvl w:val="0"/>
          <w:numId w:val="1019"/>
        </w:numPr>
        <w:pStyle w:val="Compact"/>
      </w:pPr>
      <w:r>
        <w:rPr>
          <w:bCs/>
          <w:b/>
        </w:rPr>
        <w:t xml:space="preserve">Geographic Specificity:</w:t>
      </w:r>
      <w:r>
        <w:t xml:space="preserve"> </w:t>
      </w:r>
      <w:r>
        <w:t xml:space="preserve">While China\'s grid mix is used for manufacturing, the European average for the use phase electricity is an estimation and actual user location could vary widely.</w:t>
      </w:r>
    </w:p>
    <w:p>
      <w:pPr>
        <w:numPr>
          <w:ilvl w:val="0"/>
          <w:numId w:val="1019"/>
        </w:numPr>
        <w:pStyle w:val="Compact"/>
      </w:pPr>
      <w:r>
        <w:rPr>
          <w:bCs/>
          <w:b/>
        </w:rPr>
        <w:t xml:space="preserve">GHG Protocol 2026 Updates:</w:t>
      </w:r>
      <w:r>
        <w:t xml:space="preserve"> </w:t>
      </w:r>
      <w:r>
        <w:t xml:space="preserve">The 2026 revisions for Scope 3 and the LSR Standard are in progress (Phase 1 Progress Update for Scope 3, Finalized Standard for LSR with Q2 2026 guidance expected). This report applies the spirit and available details of these updates, but final implementation might require further adjustments once full guidance is released.</w:t>
      </w:r>
    </w:p>
    <w:bookmarkEnd w:id="45"/>
    <w:bookmarkStart w:id="46" w:name="recommendations"/>
    <w:p>
      <w:pPr>
        <w:pStyle w:val="Heading3"/>
      </w:pPr>
      <w:r>
        <w:t xml:space="preserve">4.3. Recommendations</w:t>
      </w:r>
    </w:p>
    <w:p>
      <w:pPr>
        <w:pStyle w:val="FirstParagraph"/>
      </w:pPr>
      <w:r>
        <w:t xml:space="preserve">To reduce the Product Carbon Footprint of tkfsxjenvj and align with fqjoynwguy\'s sustainability goals, the following recommendations are proposed:</w:t>
      </w:r>
    </w:p>
    <w:p>
      <w:pPr>
        <w:numPr>
          <w:ilvl w:val="0"/>
          <w:numId w:val="1020"/>
        </w:numPr>
        <w:pStyle w:val="Compact"/>
      </w:pPr>
      <w:r>
        <w:rPr>
          <w:bCs/>
          <w:b/>
        </w:rPr>
        <w:t xml:space="preserve">Prioritize Use Phase Decarbonization:</w:t>
      </w:r>
      <w:r>
        <w:t xml:space="preserve"> </w:t>
      </w:r>
      <w:r>
        <w:t xml:space="preserve">Focus on designing more energy-efficient products and educating end-users on sustainable usage, including promotion of renewable energy providers. Explore low-power modes and extended battery life.</w:t>
      </w:r>
    </w:p>
    <w:p>
      <w:pPr>
        <w:numPr>
          <w:ilvl w:val="0"/>
          <w:numId w:val="1020"/>
        </w:numPr>
        <w:pStyle w:val="Compact"/>
      </w:pPr>
      <w:r>
        <w:rPr>
          <w:bCs/>
          <w:b/>
        </w:rPr>
        <w:t xml:space="preserve">Enhance Manufacturing Efficiency &amp; Renewables:</w:t>
      </w:r>
      <w:r>
        <w:t xml:space="preserve"> </w:t>
      </w:r>
      <w:r>
        <w:t xml:space="preserve">Invest further in renewable energy at production facilities in China, aiming for 100% renewable energy usage. Implement energy-efficient manufacturing processes and technologies.</w:t>
      </w:r>
    </w:p>
    <w:p>
      <w:pPr>
        <w:numPr>
          <w:ilvl w:val="0"/>
          <w:numId w:val="1020"/>
        </w:numPr>
        <w:pStyle w:val="Compact"/>
      </w:pPr>
      <w:r>
        <w:rPr>
          <w:bCs/>
          <w:b/>
        </w:rPr>
        <w:t xml:space="preserve">Optimise Material Sourcing:</w:t>
      </w:r>
      <w:r>
        <w:t xml:space="preserve"> </w:t>
      </w:r>
      <w:r>
        <w:t xml:space="preserve">Investigate and specify lower-carbon materials for components, particularly for PCBs, aluminum, and plastics. Increase the recycled content of raw materials and engage with suppliers for their product-specific PCFs (primary data).</w:t>
      </w:r>
    </w:p>
    <w:p>
      <w:pPr>
        <w:numPr>
          <w:ilvl w:val="0"/>
          <w:numId w:val="1020"/>
        </w:numPr>
        <w:pStyle w:val="Compact"/>
      </w:pPr>
      <w:r>
        <w:rPr>
          <w:bCs/>
          <w:b/>
        </w:rPr>
        <w:t xml:space="preserve">Strengthen Circular Economy Initiatives:</w:t>
      </w:r>
      <w:r>
        <w:t xml:space="preserve"> </w:t>
      </w:r>
      <w:r>
        <w:t xml:space="preserve">Continue to develop and promote robust take-back and recycling programs, ensuring high collection and recovery rates, and exploring opportunities for material circularity beyond current recycling.</w:t>
      </w:r>
    </w:p>
    <w:p>
      <w:pPr>
        <w:numPr>
          <w:ilvl w:val="0"/>
          <w:numId w:val="1020"/>
        </w:numPr>
        <w:pStyle w:val="Compact"/>
      </w:pPr>
      <w:r>
        <w:rPr>
          <w:bCs/>
          <w:b/>
        </w:rPr>
        <w:t xml:space="preserve">Supplier Engagement for Data Quality:</w:t>
      </w:r>
      <w:r>
        <w:t xml:space="preserve"> </w:t>
      </w:r>
      <w:r>
        <w:t xml:space="preserve">Work with supply chain partners to obtain primary activity data and specific emission factors for components and logistics, improving the accuracy and reliability of future PCF analyses, especially for Scope 3 reporting.</w:t>
      </w:r>
    </w:p>
    <w:p>
      <w:r>
        <w:pict>
          <v:rect style="width:0;height:1.5pt" o:hralign="center" o:hrstd="t" o:hr="t"/>
        </w:pic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tkfsxjenvj</dc:title>
  <dc:creator/>
  <dc:description>High-detail Product Carbon Footprint (PCF) analysis report for tkfsxjenvj by dtlhevreoi, Senior Sustainability Consultant for fqjoynwguy, adhering to GHG Protocol and 2026 updates.</dc:description>
  <dc:language>en</dc:language>
  <cp:keywords/>
  <dcterms:created xsi:type="dcterms:W3CDTF">2026-07-16T01:12:39Z</dcterms:created>
  <dcterms:modified xsi:type="dcterms:W3CDTF">2026-07-16T01:12:39Z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