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thxvvpgjku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thxvvpgjku</w:t>
      </w:r>
    </w:p>
    <w:p>
      <w:pPr>
        <w:pStyle w:val="BodyText"/>
      </w:pPr>
      <w:r>
        <w:rPr>
          <w:bCs/>
          <w:b/>
        </w:rPr>
        <w:t xml:space="preserve">Company:</w:t>
      </w:r>
      <w:r>
        <w:t xml:space="preserve"> </w:t>
      </w:r>
      <w:r>
        <w:t xml:space="preserve">jylvwtkhqq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ykoujrgzvz</w:t>
      </w:r>
    </w:p>
    <w:p>
      <w:pPr>
        <w:pStyle w:val="BodyText"/>
      </w:pPr>
      <w:r>
        <w:t xml:space="preserve">This report is generated based on available data, industry standards, and the specific parameters provided. While every effort has been made to ensure accuracy, the results are indicative and subject to the limitations of underlying data and methodologies.</w:t>
      </w:r>
    </w:p>
    <w:bookmarkEnd w:id="20"/>
    <w:bookmarkStart w:id="21" w:name="X5e361b4d9a0cb844088ac41b839aa097dc34406"/>
    <w:p>
      <w:pPr>
        <w:pStyle w:val="Heading1"/>
      </w:pPr>
      <w:r>
        <w:t xml:space="preserve">Product Carbon Footprint Analysis for thxvvpgjku</w:t>
      </w:r>
    </w:p>
    <w:p>
      <w:pPr>
        <w:pStyle w:val="FirstParagraph"/>
      </w:pPr>
      <w:r>
        <w:t xml:space="preserve">Generated Date: May 19,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\'thxvvpgjku\', manufactured by \'jylvwtkhqq\'. Conducted by \'ykoujrgzvz\', Senior Sustainability Consultant, and adhering strictly to the GHG Protocol and its 2026 Land Sector and Removals (LSR) update, this analysis quantifies the greenhouse gas emissions associated with the product\'s entire lifecycle. The primary goal is to identify emission hotspots, inform strategic decarbonization efforts, and ensure compliance with evolving sustainability reporting standards. The analysis covers raw material acquisition, manufacturing, transport, use phase, and end-of-life scenarios, with a strong focus on Scope 3 emissions.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is performed in accordance with the GHG Protocol Product Standard, ensuring a comprehensive and robust assessment of greenhouse gas emissions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thxvvpgjku</w:t>
      </w:r>
      <w:r>
        <w:t xml:space="preserve">, providing a consistent basis for quantification and comparison.</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 defined as</w:t>
      </w:r>
      <w:r>
        <w:t xml:space="preserve"> </w:t>
      </w:r>
      <w:r>
        <w:rPr>
          <w:bCs/>
          <w:b/>
        </w:rPr>
        <w:t xml:space="preserve">"factory_gate"</w:t>
      </w:r>
      <w:r>
        <w:t xml:space="preserve"> </w:t>
      </w:r>
      <w:r>
        <w:t xml:space="preserve">for the direct manufacturing process, extended to a cradle-to-grave approach for the entire product lifecycle analysis, including upstream supply chain (cradle-to-gate), use phase, and end-of-life (gate-to-grave).</w:t>
      </w:r>
    </w:p>
    <w:p>
      <w:pPr>
        <w:numPr>
          <w:ilvl w:val="0"/>
          <w:numId w:val="1002"/>
        </w:numPr>
        <w:pStyle w:val="Compact"/>
      </w:pPr>
      <w:r>
        <w:t xml:space="preserve">Emissions are categorized into Scope 1 (direct emissions), Scope 2 (indirect emissions from purchased energy), and Scope 3 (all other indirect emissions across the value chain) as per GHG Protocol standards.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implies a significant international transport component for the finished product and potentially for some raw materials/components.</w:t>
      </w:r>
    </w:p>
    <w:p>
      <w:pPr>
        <w:numPr>
          <w:ilvl w:val="0"/>
          <w:numId w:val="1003"/>
        </w:numPr>
        <w:pStyle w:val="Compact"/>
      </w:pPr>
      <w:r>
        <w:rPr>
          <w:bCs/>
          <w:b/>
        </w:rPr>
        <w:t xml:space="preserve">Product Use Location:</w:t>
      </w:r>
      <w:r>
        <w:t xml:space="preserve"> </w:t>
      </w:r>
      <w:r>
        <w:t xml:space="preserve">Assumed predominantly within Europe for use phase calculations.</w:t>
      </w:r>
    </w:p>
    <w:bookmarkEnd w:id="25"/>
    <w:bookmarkStart w:id="26" w:name="accounting-standard"/>
    <w:p>
      <w:pPr>
        <w:pStyle w:val="Heading3"/>
      </w:pPr>
      <w:r>
        <w:t xml:space="preserve">1.4. Accounting Standard</w:t>
      </w:r>
    </w:p>
    <w:p>
      <w:pPr>
        <w:numPr>
          <w:ilvl w:val="0"/>
          <w:numId w:val="1004"/>
        </w:numPr>
        <w:pStyle w:val="Compact"/>
      </w:pPr>
      <w:r>
        <w:t xml:space="preserve">The entire analysis strictly adheres to the</w:t>
      </w:r>
      <w:r>
        <w:t xml:space="preserve"> </w:t>
      </w:r>
      <w:r>
        <w:rPr>
          <w:bCs/>
          <w:b/>
        </w:rPr>
        <w:t xml:space="preserve">GHG Protocol (Product Life Cycle Accounting and Reporting Standard)</w:t>
      </w:r>
      <w:r>
        <w:t xml:space="preserve">. This ensures consistency, transparency, and comparability of reported emissions.</w:t>
      </w:r>
    </w:p>
    <w:p>
      <w:pPr>
        <w:numPr>
          <w:ilvl w:val="0"/>
          <w:numId w:val="1004"/>
        </w:numPr>
        <w:pStyle w:val="Compact"/>
      </w:pPr>
      <w:r>
        <w:t xml:space="preserve">**2026 LSR Update Application:** The Land Sector and Removals (LSR) Standard is conceptually applied, acknowledging its importance for robust accounting of land-related emissions and carbon removals. While specific land use data for individual components is beyond the scope of this general assessment, the principle of incorporating such impacts will be considered in future, more granular analyses.</w:t>
      </w:r>
    </w:p>
    <w:bookmarkEnd w:id="26"/>
    <w:bookmarkStart w:id="27" w:name="allocation"/>
    <w:p>
      <w:pPr>
        <w:pStyle w:val="Heading3"/>
      </w:pPr>
      <w:r>
        <w:t xml:space="preserve">1.5. Allocation</w:t>
      </w:r>
    </w:p>
    <w:p>
      <w:pPr>
        <w:numPr>
          <w:ilvl w:val="0"/>
          <w:numId w:val="1005"/>
        </w:numPr>
        <w:pStyle w:val="Compact"/>
      </w:pPr>
      <w:r>
        <w:t xml:space="preserve">Given the focus on a single product (thxvvpgjku), direct allocation methods are primarily applied. Where co-production or shared processes occur in the supply chain, mass-based or economic allocation rules are assumed to be applied by upstream suppliers in their emission factor generation.</w:t>
      </w:r>
    </w:p>
    <w:p>
      <w:r>
        <w:pict>
          <v:rect style="width:0;height:1.5pt" o:hralign="center" o:hrstd="t" o:hr="t"/>
        </w:pict>
      </w:r>
    </w:p>
    <w:bookmarkEnd w:id="27"/>
    <w:bookmarkEnd w:id="28"/>
    <w:bookmarkStart w:id="34" w:name="X165b47bb5250a55c5bdeab8c531813c156fa397"/>
    <w:p>
      <w:pPr>
        <w:pStyle w:val="Heading2"/>
      </w:pPr>
      <w:r>
        <w:t xml:space="preserve">2. Lifecycle Mapping and Data Collection (Steps 2 &amp; 3)</w:t>
      </w:r>
    </w:p>
    <w:p>
      <w:pPr>
        <w:pStyle w:val="FirstParagraph"/>
      </w:pPr>
      <w:r>
        <w:t xml:space="preserve">The lifecycle of \'thxvvpgjku\' has been mapped into five distinct stages: Raw Material Acquisition &amp; Pre-processing, Manufacturing, Transport (Upstream &amp; Downstream), Use Phase, and End-of-Life. Data was collected from a combination of primary (provided parameters) and secondary (industry-standard emission factors) sources.</w:t>
      </w:r>
    </w:p>
    <w:bookmarkStart w:id="29" w:name="X066d1c4879f5ae8a5a7a42635459f520a20d018"/>
    <w:p>
      <w:pPr>
        <w:pStyle w:val="Heading3"/>
      </w:pPr>
      <w:r>
        <w:t xml:space="preserve">2.1. Detailed Bill of Materials (BOM) - Material Inputs</w:t>
      </w:r>
    </w:p>
    <w:p>
      <w:pPr>
        <w:pStyle w:val="FirstParagraph"/>
      </w:pPr>
      <w:r>
        <w:t xml:space="preserve">The following table details the materials comprising \'thxvvpgjku\', along with their respective quantities and associated emission factors. These values are crucial for accurately quantifying upstream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8.50</w:t>
            </w:r>
          </w:p>
        </w:tc>
        <w:tc>
          <w:tcPr/>
          <w:p>
            <w:pPr>
              <w:pStyle w:val="Compact"/>
              <w:jc w:val="left"/>
            </w:pPr>
            <w:r>
              <w:t xml:space="preserve">1.70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0.53</w:t>
            </w:r>
          </w:p>
        </w:tc>
      </w:tr>
      <w:tr>
        <w:tc>
          <w:tcPr/>
          <w:p>
            <w:pPr>
              <w:pStyle w:val="Compact"/>
              <w:jc w:val="left"/>
            </w:pPr>
            <w:r>
              <w:t xml:space="preserve">E001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gridSpan w:val="4"/>
          </w:tcPr>
          <w:p>
            <w:pPr>
              <w:pStyle w:val="Compact"/>
              <w:jc w:val="right"/>
            </w:pPr>
            <w:r>
              <w:rPr>
                <w:bCs/>
                <w:b/>
              </w:rPr>
              <w:t xml:space="preserve">Total Product Weight:</w:t>
            </w:r>
          </w:p>
        </w:tc>
        <w:tc>
          <w:tcPr/>
          <w:p>
            <w:pPr>
              <w:pStyle w:val="Compact"/>
              <w:jc w:val="left"/>
            </w:pPr>
            <w:r>
              <w:rPr>
                <w:bCs/>
                <w:b/>
              </w:rPr>
              <w:t xml:space="preserve">0.50 kg</w:t>
            </w:r>
          </w:p>
        </w:tc>
        <w:tc>
          <w:tcPr>
            <w:gridSpan w:val="3"/>
          </w:tcPr>
          <w:p>
            <w:pPr>
              <w:pStyle w:val="Compact"/>
            </w:pPr>
          </w:p>
        </w:tc>
      </w:tr>
    </w:tbl>
    <w:p>
      <w:pPr>
        <w:pStyle w:val="BodyText"/>
      </w:pPr>
      <w:r>
        <w:rPr>
          <w:iCs/>
          <w:i/>
        </w:rPr>
        <w:t xml:space="preserve">Emission factors are illustrative, derived from industry-standard databases such as Ecoinvent and DEFRA for typical processes and materials.</w:t>
      </w:r>
    </w:p>
    <w:bookmarkEnd w:id="29"/>
    <w:bookmarkStart w:id="30" w:name="energy-inputs-for-production"/>
    <w:p>
      <w:pPr>
        <w:pStyle w:val="Heading3"/>
      </w:pPr>
      <w:r>
        <w:t xml:space="preserve">2.2. Energy Inputs for Production</w:t>
      </w:r>
    </w:p>
    <w:p>
      <w:pPr>
        <w:numPr>
          <w:ilvl w:val="0"/>
          <w:numId w:val="1006"/>
        </w:numPr>
        <w:pStyle w:val="Compact"/>
      </w:pPr>
      <w:r>
        <w:rPr>
          <w:bCs/>
          <w:b/>
        </w:rPr>
        <w:t xml:space="preserve">Energy Intensity (kWh/unit):</w:t>
      </w:r>
      <w:r>
        <w:t xml:space="preserve"> </w:t>
      </w:r>
      <w:r>
        <w:t xml:space="preserve">18 kWh/unit</w:t>
      </w:r>
    </w:p>
    <w:p>
      <w:pPr>
        <w:numPr>
          <w:ilvl w:val="0"/>
          <w:numId w:val="1006"/>
        </w:numPr>
        <w:pStyle w:val="Compact"/>
      </w:pPr>
      <w:r>
        <w:rPr>
          <w:bCs/>
          <w:b/>
        </w:rPr>
        <w:t xml:space="preserve">Renewable Energy Usage:</w:t>
      </w:r>
      <w:r>
        <w:t xml:space="preserve"> </w:t>
      </w:r>
      <w:r>
        <w:t xml:space="preserve">60%</w:t>
      </w:r>
    </w:p>
    <w:p>
      <w:pPr>
        <w:numPr>
          <w:ilvl w:val="0"/>
          <w:numId w:val="1006"/>
        </w:numPr>
        <w:pStyle w:val="Compact"/>
      </w:pPr>
      <w:r>
        <w:rPr>
          <w:bCs/>
          <w:b/>
        </w:rPr>
        <w:t xml:space="preserve">Non-renewable Energy Usage:</w:t>
      </w:r>
      <w:r>
        <w:t xml:space="preserve"> </w:t>
      </w:r>
      <w:r>
        <w:t xml:space="preserve">40% (100% - 60%)</w:t>
      </w:r>
    </w:p>
    <w:p>
      <w:pPr>
        <w:numPr>
          <w:ilvl w:val="0"/>
          <w:numId w:val="1006"/>
        </w:numPr>
        <w:pStyle w:val="Compact"/>
      </w:pPr>
      <w:r>
        <w:rPr>
          <w:bCs/>
          <w:b/>
        </w:rPr>
        <w:t xml:space="preserve">Location:</w:t>
      </w:r>
      <w:r>
        <w:t xml:space="preserve"> </w:t>
      </w:r>
      <w:r>
        <w:t xml:space="preserve">China (for manufacturing electricity grid mix)</w:t>
      </w:r>
    </w:p>
    <w:bookmarkEnd w:id="30"/>
    <w:bookmarkStart w:id="31" w:name="logistics-data"/>
    <w:p>
      <w:pPr>
        <w:pStyle w:val="Heading3"/>
      </w:pPr>
      <w:r>
        <w:t xml:space="preserve">2.3. Logistics Data</w:t>
      </w:r>
    </w:p>
    <w:p>
      <w:pPr>
        <w:numPr>
          <w:ilvl w:val="0"/>
          <w:numId w:val="1007"/>
        </w:numPr>
        <w:pStyle w:val="Compact"/>
      </w:pPr>
      <w:r>
        <w:rPr>
          <w:bCs/>
          <w:b/>
        </w:rPr>
        <w:t xml:space="preserve">Upstream Transport (Components to Factory):</w:t>
      </w:r>
      <w:r>
        <w:t xml:space="preserve"> </w:t>
      </w:r>
      <w:r>
        <w:t xml:space="preserve">Assumed to be integrated into material emission factors, or short-haul road freight. For simplicity in this analysis, significant upstream component transport from diverse global locations is embedded in material EFs, with primary focus on finished product transport.</w:t>
      </w:r>
    </w:p>
    <w:p>
      <w:pPr>
        <w:numPr>
          <w:ilvl w:val="0"/>
          <w:numId w:val="1007"/>
        </w:numPr>
        <w:pStyle w:val="Compact"/>
      </w:pPr>
      <w:r>
        <w:rPr>
          <w:bCs/>
          <w:b/>
        </w:rPr>
        <w:t xml:space="preserve">Finished Product Transport (Factory to Europe Distribution):</w:t>
      </w:r>
    </w:p>
    <w:p>
      <w:pPr>
        <w:numPr>
          <w:ilvl w:val="1"/>
          <w:numId w:val="1008"/>
        </w:numPr>
        <w:pStyle w:val="Compact"/>
      </w:pPr>
      <w:r>
        <w:rPr>
          <w:bCs/>
          <w:b/>
        </w:rPr>
        <w:t xml:space="preserve">Mode:</w:t>
      </w:r>
      <w:r>
        <w:t xml:space="preserve"> </w:t>
      </w:r>
      <w:r>
        <w:t xml:space="preserve">Ocean freight (Container ship) and Road freight (HGV &gt;16t)</w:t>
      </w:r>
    </w:p>
    <w:p>
      <w:pPr>
        <w:numPr>
          <w:ilvl w:val="1"/>
          <w:numId w:val="1008"/>
        </w:numPr>
        <w:pStyle w:val="Compact"/>
      </w:pPr>
      <w:r>
        <w:rPr>
          <w:bCs/>
          <w:b/>
        </w:rPr>
        <w:t xml:space="preserve">Ocean Distance (China to Europe):</w:t>
      </w:r>
      <w:r>
        <w:t xml:space="preserve"> </w:t>
      </w:r>
      <w:r>
        <w:t xml:space="preserve">20,000 km (estimated)</w:t>
      </w:r>
    </w:p>
    <w:p>
      <w:pPr>
        <w:numPr>
          <w:ilvl w:val="1"/>
          <w:numId w:val="1008"/>
        </w:numPr>
        <w:pStyle w:val="Compact"/>
      </w:pPr>
      <w:r>
        <w:rPr>
          <w:bCs/>
          <w:b/>
        </w:rPr>
        <w:t xml:space="preserve">Road Distance (Europe Distribution):</w:t>
      </w:r>
      <w:r>
        <w:t xml:space="preserve"> </w:t>
      </w:r>
      <w:r>
        <w:t xml:space="preserve">1,000 km (estimated)</w:t>
      </w:r>
    </w:p>
    <w:p>
      <w:pPr>
        <w:numPr>
          <w:ilvl w:val="0"/>
          <w:numId w:val="1007"/>
        </w:numPr>
        <w:pStyle w:val="Compact"/>
      </w:pPr>
      <w:r>
        <w:rPr>
          <w:bCs/>
          <w:b/>
        </w:rPr>
        <w:t xml:space="preserve">Last-Mile Delivery:</w:t>
      </w:r>
    </w:p>
    <w:p>
      <w:pPr>
        <w:numPr>
          <w:ilvl w:val="1"/>
          <w:numId w:val="1009"/>
        </w:numPr>
        <w:pStyle w:val="Compact"/>
      </w:pPr>
      <w:r>
        <w:rPr>
          <w:bCs/>
          <w:b/>
        </w:rPr>
        <w:t xml:space="preserve">Channel:</w:t>
      </w:r>
      <w:r>
        <w:t xml:space="preserve"> </w:t>
      </w:r>
      <w:r>
        <w:t xml:space="preserve">Light Commercial Vehicle (LCV)</w:t>
      </w:r>
    </w:p>
    <w:p>
      <w:pPr>
        <w:numPr>
          <w:ilvl w:val="1"/>
          <w:numId w:val="1009"/>
        </w:numPr>
        <w:pStyle w:val="Compact"/>
      </w:pPr>
      <w:r>
        <w:rPr>
          <w:bCs/>
          <w:b/>
        </w:rPr>
        <w:t xml:space="preserve">Assumed Average Distance:</w:t>
      </w:r>
      <w:r>
        <w:t xml:space="preserve"> </w:t>
      </w:r>
      <w:r>
        <w:t xml:space="preserve">100 km (per unit)</w:t>
      </w:r>
    </w:p>
    <w:bookmarkEnd w:id="31"/>
    <w:bookmarkStart w:id="32" w:name="use-phase-data"/>
    <w:p>
      <w:pPr>
        <w:pStyle w:val="Heading3"/>
      </w:pPr>
      <w:r>
        <w:t xml:space="preserve">2.4. Use Phase Data</w:t>
      </w:r>
    </w:p>
    <w:p>
      <w:pPr>
        <w:numPr>
          <w:ilvl w:val="0"/>
          <w:numId w:val="1010"/>
        </w:numPr>
        <w:pStyle w:val="Compact"/>
      </w:pPr>
      <w:r>
        <w:rPr>
          <w:bCs/>
          <w:b/>
        </w:rPr>
        <w:t xml:space="preserve">Product Lifespan:</w:t>
      </w:r>
      <w:r>
        <w:t xml:space="preserve"> </w:t>
      </w:r>
      <w:r>
        <w:t xml:space="preserve">7 years</w:t>
      </w:r>
    </w:p>
    <w:p>
      <w:pPr>
        <w:numPr>
          <w:ilvl w:val="0"/>
          <w:numId w:val="1010"/>
        </w:numPr>
        <w:pStyle w:val="Compact"/>
      </w:pPr>
      <w:r>
        <w:rPr>
          <w:bCs/>
          <w:b/>
        </w:rPr>
        <w:t xml:space="preserve">Energy Consumption in Use:</w:t>
      </w:r>
      <w:r>
        <w:t xml:space="preserve"> </w:t>
      </w:r>
      <w:r>
        <w:t xml:space="preserve">12 kWh/year</w:t>
      </w:r>
    </w:p>
    <w:p>
      <w:pPr>
        <w:numPr>
          <w:ilvl w:val="0"/>
          <w:numId w:val="1010"/>
        </w:numPr>
        <w:pStyle w:val="Compact"/>
      </w:pPr>
      <w:r>
        <w:rPr>
          <w:bCs/>
          <w:b/>
        </w:rPr>
        <w:t xml:space="preserve">Location:</w:t>
      </w:r>
      <w:r>
        <w:t xml:space="preserve"> </w:t>
      </w:r>
      <w:r>
        <w:t xml:space="preserve">Europe (for electricity grid mix during use phase)</w:t>
      </w:r>
    </w:p>
    <w:bookmarkEnd w:id="32"/>
    <w:bookmarkStart w:id="33" w:name="end-of-life-eol-scenarios"/>
    <w:p>
      <w:pPr>
        <w:pStyle w:val="Heading3"/>
      </w:pPr>
      <w:r>
        <w:t xml:space="preserve">2.5. End-of-Life (EoL) Scenarios</w:t>
      </w:r>
    </w:p>
    <w:p>
      <w:pPr>
        <w:numPr>
          <w:ilvl w:val="0"/>
          <w:numId w:val="1011"/>
        </w:numPr>
        <w:pStyle w:val="Compact"/>
      </w:pPr>
      <w:r>
        <w:rPr>
          <w:bCs/>
          <w:b/>
        </w:rPr>
        <w:t xml:space="preserve">Recyclability Percentage:</w:t>
      </w:r>
      <w:r>
        <w:t xml:space="preserve"> </w:t>
      </w:r>
      <w:r>
        <w:t xml:space="preserve">75%</w:t>
      </w:r>
    </w:p>
    <w:p>
      <w:pPr>
        <w:numPr>
          <w:ilvl w:val="0"/>
          <w:numId w:val="1011"/>
        </w:numPr>
        <w:pStyle w:val="Compact"/>
      </w:pPr>
      <w:r>
        <w:rPr>
          <w:bCs/>
          <w:b/>
        </w:rPr>
        <w:t xml:space="preserve">Circular/Take-back Programs:</w:t>
      </w:r>
      <w:r>
        <w:t xml:space="preserve"> </w:t>
      </w:r>
      <w:r>
        <w:t xml:space="preserve">Established take-back program with 15% return rate and high material recovery.</w:t>
      </w:r>
    </w:p>
    <w:p>
      <w:r>
        <w:pict>
          <v:rect style="width:0;height:1.5pt" o:hralign="center" o:hrstd="t" o:hr="t"/>
        </w:pict>
      </w:r>
    </w:p>
    <w:bookmarkEnd w:id="33"/>
    <w:bookmarkEnd w:id="34"/>
    <w:bookmarkStart w:id="44" w:name="calculation-of-emissions-step-4"/>
    <w:p>
      <w:pPr>
        <w:pStyle w:val="Heading2"/>
      </w:pPr>
      <w:r>
        <w:t xml:space="preserve">3. Calculation of Emissions (Step 4)</w:t>
      </w:r>
    </w:p>
    <w:p>
      <w:pPr>
        <w:pStyle w:val="FirstParagraph"/>
      </w:pPr>
      <w:r>
        <w:t xml:space="preserve">The total Product Carbon Footprint (PCF) for one unit of \'thxvvpgjku\' is calculated by summing the emissions from each lifecycle stage, categorized according to the GHG Protocol\'s Scope definitions.</w:t>
      </w:r>
    </w:p>
    <w:bookmarkStart w:id="35" w:name="emission-factors-used"/>
    <w:p>
      <w:pPr>
        <w:pStyle w:val="Heading3"/>
      </w:pPr>
      <w:r>
        <w:t xml:space="preserve">3.1. Emission Factors Used</w:t>
      </w:r>
    </w:p>
    <w:p>
      <w:pPr>
        <w:pStyle w:val="FirstParagraph"/>
      </w:pPr>
      <w:r>
        <w:t xml:space="preserve">Industry-standard emission factors are utilized (e.g., Ecoinvent, DEFRA), tailored to the geographic scope and specific processes where possible.</w:t>
      </w:r>
    </w:p>
    <w:p>
      <w:pPr>
        <w:numPr>
          <w:ilvl w:val="0"/>
          <w:numId w:val="1012"/>
        </w:numPr>
        <w:pStyle w:val="Compact"/>
      </w:pPr>
      <w:r>
        <w:rPr>
          <w:bCs/>
          <w:b/>
        </w:rPr>
        <w:t xml:space="preserve">Electricity Grid Mix (China, 2026 Estimate):</w:t>
      </w:r>
      <w:r>
        <w:t xml:space="preserve"> </w:t>
      </w:r>
      <w:r>
        <w:t xml:space="preserve">~0.60 kgCO2e/kWh (average grid intensity, before applying renewable energy offset).</w:t>
      </w:r>
    </w:p>
    <w:p>
      <w:pPr>
        <w:numPr>
          <w:ilvl w:val="0"/>
          <w:numId w:val="1012"/>
        </w:numPr>
        <w:pStyle w:val="Compact"/>
      </w:pPr>
      <w:r>
        <w:rPr>
          <w:bCs/>
          <w:b/>
        </w:rPr>
        <w:t xml:space="preserve">Electricity Grid Mix (Europe, Average):</w:t>
      </w:r>
      <w:r>
        <w:t xml:space="preserve"> </w:t>
      </w:r>
      <w:r>
        <w:t xml:space="preserve">~0.25 kgCO2e/kWh (for use phase).</w:t>
      </w:r>
    </w:p>
    <w:p>
      <w:pPr>
        <w:numPr>
          <w:ilvl w:val="0"/>
          <w:numId w:val="1012"/>
        </w:numPr>
        <w:pStyle w:val="Compact"/>
      </w:pPr>
      <w:r>
        <w:rPr>
          <w:bCs/>
          <w:b/>
        </w:rPr>
        <w:t xml:space="preserve">Ocean Freight (Container ship):</w:t>
      </w:r>
      <w:r>
        <w:t xml:space="preserve"> </w:t>
      </w:r>
      <w:r>
        <w:t xml:space="preserve">~0.010 kgCO2e/tonne-km</w:t>
      </w:r>
    </w:p>
    <w:p>
      <w:pPr>
        <w:numPr>
          <w:ilvl w:val="0"/>
          <w:numId w:val="1012"/>
        </w:numPr>
        <w:pStyle w:val="Compact"/>
      </w:pPr>
      <w:r>
        <w:rPr>
          <w:bCs/>
          <w:b/>
        </w:rPr>
        <w:t xml:space="preserve">Road Freight (HGV &gt;16t):</w:t>
      </w:r>
      <w:r>
        <w:t xml:space="preserve"> </w:t>
      </w:r>
      <w:r>
        <w:t xml:space="preserve">~0.080 kgCO2e/tonne-km</w:t>
      </w:r>
    </w:p>
    <w:p>
      <w:pPr>
        <w:numPr>
          <w:ilvl w:val="0"/>
          <w:numId w:val="1012"/>
        </w:numPr>
        <w:pStyle w:val="Compact"/>
      </w:pPr>
      <w:r>
        <w:rPr>
          <w:bCs/>
          <w:b/>
        </w:rPr>
        <w:t xml:space="preserve">Light Commercial Vehicle (LCV):</w:t>
      </w:r>
      <w:r>
        <w:t xml:space="preserve"> </w:t>
      </w:r>
      <w:r>
        <w:t xml:space="preserve">~0.250 kgCO2e/tonne-km</w:t>
      </w:r>
    </w:p>
    <w:p>
      <w:pPr>
        <w:numPr>
          <w:ilvl w:val="0"/>
          <w:numId w:val="1012"/>
        </w:numPr>
        <w:pStyle w:val="Compact"/>
      </w:pPr>
      <w:r>
        <w:rPr>
          <w:bCs/>
          <w:b/>
        </w:rPr>
        <w:t xml:space="preserve">End-of-Life (EoL):</w:t>
      </w:r>
    </w:p>
    <w:p>
      <w:pPr>
        <w:numPr>
          <w:ilvl w:val="1"/>
          <w:numId w:val="1013"/>
        </w:numPr>
        <w:pStyle w:val="Compact"/>
      </w:pPr>
      <w:r>
        <w:t xml:space="preserve">Landfill (general waste): ~0.20 kgCO2e/kg</w:t>
      </w:r>
    </w:p>
    <w:p>
      <w:pPr>
        <w:numPr>
          <w:ilvl w:val="1"/>
          <w:numId w:val="1013"/>
        </w:numPr>
        <w:pStyle w:val="Compact"/>
      </w:pPr>
      <w:r>
        <w:t xml:space="preserve">Recycling (net benefit/credit, average): ~-1.50 kgCO2e/kg (avoided virgin material production)</w:t>
      </w:r>
    </w:p>
    <w:bookmarkEnd w:id="35"/>
    <w:bookmarkStart w:id="41" w:name="lifecycle-stage-emission-breakdown"/>
    <w:p>
      <w:pPr>
        <w:pStyle w:val="Heading3"/>
      </w:pPr>
      <w:r>
        <w:t xml:space="preserve">3.2. Lifecycle Stage Emission Breakdown</w:t>
      </w:r>
    </w:p>
    <w:bookmarkStart w:id="36" w:name="Xff31e690bfe279af69cf88b9219fe5d56042afb"/>
    <w:p>
      <w:pPr>
        <w:pStyle w:val="Heading4"/>
      </w:pPr>
      <w:r>
        <w:t xml:space="preserve">3.2.1. Raw Material Acquisition &amp; Pre-processing (Scope 3 - Upstream)</w:t>
      </w:r>
    </w:p>
    <w:p>
      <w:pPr>
        <w:pStyle w:val="FirstParagraph"/>
      </w:pPr>
      <w:r>
        <w:t xml:space="preserve">This category includes emissions from the extraction, processing, and manufacturing of all components listed in the BOM. The total mass of materials for one unit is 0.50 kg.</w:t>
      </w:r>
    </w:p>
    <w:p>
      <w:pPr>
        <w:numPr>
          <w:ilvl w:val="0"/>
          <w:numId w:val="1014"/>
        </w:numPr>
        <w:pStyle w:val="Compact"/>
      </w:pPr>
      <w:r>
        <w:t xml:space="preserve">Total Material Emissions = Sum of (Qty * Emission Factor) from BOM</w:t>
      </w:r>
    </w:p>
    <w:p>
      <w:pPr>
        <w:numPr>
          <w:ilvl w:val="0"/>
          <w:numId w:val="1014"/>
        </w:numPr>
        <w:pStyle w:val="Compact"/>
      </w:pPr>
      <w:r>
        <w:t xml:space="preserve">Total Material Emissions = 1.70 (Aluminum) + 0.53 (ABS Plastic) + 1.25 (PCBA) + 1.20 (Battery) + 0.08 (Copper) =</w:t>
      </w:r>
      <w:r>
        <w:t xml:space="preserve"> </w:t>
      </w:r>
      <w:r>
        <w:rPr>
          <w:bCs/>
          <w:b/>
        </w:rPr>
        <w:t xml:space="preserve">4.76 kgCO2e</w:t>
      </w:r>
    </w:p>
    <w:bookmarkEnd w:id="36"/>
    <w:bookmarkStart w:id="37" w:name="manufacturing-scope-2-scope-3---upstream"/>
    <w:p>
      <w:pPr>
        <w:pStyle w:val="Heading4"/>
      </w:pPr>
      <w:r>
        <w:t xml:space="preserve">3.2.2. Manufacturing (Scope 2 &amp; Scope 3 - Upstream)</w:t>
      </w:r>
    </w:p>
    <w:p>
      <w:pPr>
        <w:pStyle w:val="FirstParagraph"/>
      </w:pPr>
      <w:r>
        <w:t xml:space="preserve">This includes emissions from energy consumption at the manufacturing facility in China.</w:t>
      </w:r>
    </w:p>
    <w:p>
      <w:pPr>
        <w:numPr>
          <w:ilvl w:val="0"/>
          <w:numId w:val="1015"/>
        </w:numPr>
        <w:pStyle w:val="Compact"/>
      </w:pPr>
      <w:r>
        <w:t xml:space="preserve">Total Energy Consumption: 18 kWh/unit</w:t>
      </w:r>
    </w:p>
    <w:p>
      <w:pPr>
        <w:numPr>
          <w:ilvl w:val="0"/>
          <w:numId w:val="1015"/>
        </w:numPr>
        <w:pStyle w:val="Compact"/>
      </w:pPr>
      <w:r>
        <w:t xml:space="preserve">Renewable Energy Usage: 60%</w:t>
      </w:r>
    </w:p>
    <w:p>
      <w:pPr>
        <w:numPr>
          <w:ilvl w:val="0"/>
          <w:numId w:val="1015"/>
        </w:numPr>
        <w:pStyle w:val="Compact"/>
      </w:pPr>
      <w:r>
        <w:t xml:space="preserve">Non-renewable Energy Consumption: 18 kWh * (1 - 0.60) = 7.2 kWh/unit</w:t>
      </w:r>
    </w:p>
    <w:p>
      <w:pPr>
        <w:numPr>
          <w:ilvl w:val="0"/>
          <w:numId w:val="1015"/>
        </w:numPr>
        <w:pStyle w:val="Compact"/>
      </w:pPr>
      <w:r>
        <w:t xml:space="preserve">Electricity Emission Factor (China): 0.60 kgCO2e/kWh</w:t>
      </w:r>
    </w:p>
    <w:p>
      <w:pPr>
        <w:numPr>
          <w:ilvl w:val="0"/>
          <w:numId w:val="1015"/>
        </w:numPr>
        <w:pStyle w:val="Compact"/>
      </w:pPr>
      <w:r>
        <w:rPr>
          <w:bCs/>
          <w:b/>
        </w:rPr>
        <w:t xml:space="preserve">Scope 2 Emissions:</w:t>
      </w:r>
      <w:r>
        <w:t xml:space="preserve"> </w:t>
      </w:r>
      <w:r>
        <w:t xml:space="preserve">7.2 kWh/unit * 0.60 kgCO2e/kWh =</w:t>
      </w:r>
      <w:r>
        <w:t xml:space="preserve"> </w:t>
      </w:r>
      <w:r>
        <w:rPr>
          <w:bCs/>
          <w:b/>
        </w:rPr>
        <w:t xml:space="preserve">4.32 kgCO2e</w:t>
      </w:r>
    </w:p>
    <w:p>
      <w:pPr>
        <w:numPr>
          <w:ilvl w:val="0"/>
          <w:numId w:val="1015"/>
        </w:numPr>
        <w:pStyle w:val="Compact"/>
      </w:pPr>
      <w:r>
        <w:rPr>
          <w:iCs/>
          <w:i/>
        </w:rPr>
        <w:t xml:space="preserve">Scope 1 emissions from manufacturing (e.g., direct fuel combustion) are assumed negligible or captured within Scope 3 if contracted, given the "factory_gate" boundary focus for the product.</w:t>
      </w:r>
    </w:p>
    <w:bookmarkEnd w:id="37"/>
    <w:bookmarkStart w:id="38" w:name="transport-scope-3---upstream-downstream"/>
    <w:p>
      <w:pPr>
        <w:pStyle w:val="Heading4"/>
      </w:pPr>
      <w:r>
        <w:t xml:space="preserve">3.2.3. Transport (Scope 3 - Upstream &amp; Downstream)</w:t>
      </w:r>
    </w:p>
    <w:p>
      <w:pPr>
        <w:pStyle w:val="FirstParagraph"/>
      </w:pPr>
      <w:r>
        <w:t xml:space="preserve">Emissions from transporting finished goods from the factory in China to the European market and last-mile delivery.</w:t>
      </w:r>
    </w:p>
    <w:p>
      <w:pPr>
        <w:numPr>
          <w:ilvl w:val="0"/>
          <w:numId w:val="1016"/>
        </w:numPr>
        <w:pStyle w:val="Compact"/>
      </w:pPr>
      <w:r>
        <w:rPr>
          <w:bCs/>
          <w:b/>
        </w:rPr>
        <w:t xml:space="preserve">Finished Product Transport (China to Europe):</w:t>
      </w:r>
    </w:p>
    <w:p>
      <w:pPr>
        <w:numPr>
          <w:ilvl w:val="1"/>
          <w:numId w:val="1017"/>
        </w:numPr>
        <w:pStyle w:val="Compact"/>
      </w:pPr>
      <w:r>
        <w:t xml:space="preserve">Product Weight: 0.50 kg = 0.0005 tonnes</w:t>
      </w:r>
    </w:p>
    <w:p>
      <w:pPr>
        <w:numPr>
          <w:ilvl w:val="1"/>
          <w:numId w:val="1017"/>
        </w:numPr>
        <w:pStyle w:val="Compact"/>
      </w:pPr>
      <w:r>
        <w:t xml:space="preserve">Ocean Freight: 0.0005 tonnes * 20,000 km * 0.010 kgCO2e/tonne-km = 0.10 kgCO2e</w:t>
      </w:r>
    </w:p>
    <w:p>
      <w:pPr>
        <w:numPr>
          <w:ilvl w:val="1"/>
          <w:numId w:val="1017"/>
        </w:numPr>
        <w:pStyle w:val="Compact"/>
      </w:pPr>
      <w:r>
        <w:t xml:space="preserve">Road Freight (EU): 0.0005 tonnes * 1,000 km * 0.080 kgCO2e/tonne-km = 0.04 kgCO2e</w:t>
      </w:r>
    </w:p>
    <w:p>
      <w:pPr>
        <w:numPr>
          <w:ilvl w:val="1"/>
          <w:numId w:val="1017"/>
        </w:numPr>
        <w:pStyle w:val="Compact"/>
      </w:pPr>
      <w:r>
        <w:t xml:space="preserve">Subtotal Finished Product Transport =</w:t>
      </w:r>
      <w:r>
        <w:t xml:space="preserve"> </w:t>
      </w:r>
      <w:r>
        <w:rPr>
          <w:bCs/>
          <w:b/>
        </w:rPr>
        <w:t xml:space="preserve">0.14 kgCO2e</w:t>
      </w:r>
    </w:p>
    <w:p>
      <w:pPr>
        <w:numPr>
          <w:ilvl w:val="0"/>
          <w:numId w:val="1016"/>
        </w:numPr>
        <w:pStyle w:val="Compact"/>
      </w:pPr>
      <w:r>
        <w:rPr>
          <w:bCs/>
          <w:b/>
        </w:rPr>
        <w:t xml:space="preserve">Last-Mile Delivery:</w:t>
      </w:r>
    </w:p>
    <w:p>
      <w:pPr>
        <w:numPr>
          <w:ilvl w:val="1"/>
          <w:numId w:val="1018"/>
        </w:numPr>
        <w:pStyle w:val="Compact"/>
      </w:pPr>
      <w:r>
        <w:t xml:space="preserve">Product Weight: 0.50 kg = 0.0005 tonnes</w:t>
      </w:r>
    </w:p>
    <w:p>
      <w:pPr>
        <w:numPr>
          <w:ilvl w:val="1"/>
          <w:numId w:val="1018"/>
        </w:numPr>
        <w:pStyle w:val="Compact"/>
      </w:pPr>
      <w:r>
        <w:t xml:space="preserve">Distance: 100 km</w:t>
      </w:r>
    </w:p>
    <w:p>
      <w:pPr>
        <w:numPr>
          <w:ilvl w:val="1"/>
          <w:numId w:val="1018"/>
        </w:numPr>
        <w:pStyle w:val="Compact"/>
      </w:pPr>
      <w:r>
        <w:t xml:space="preserve">LCV Emission Factor: 0.250 kgCO2e/tonne-km</w:t>
      </w:r>
    </w:p>
    <w:p>
      <w:pPr>
        <w:numPr>
          <w:ilvl w:val="1"/>
          <w:numId w:val="1018"/>
        </w:numPr>
        <w:pStyle w:val="Compact"/>
      </w:pPr>
      <w:r>
        <w:t xml:space="preserve">Last-Mile Emissions = 0.0005 tonnes * 100 km * 0.250 kgCO2e/tonne-km =</w:t>
      </w:r>
      <w:r>
        <w:t xml:space="preserve"> </w:t>
      </w:r>
      <w:r>
        <w:rPr>
          <w:bCs/>
          <w:b/>
        </w:rPr>
        <w:t xml:space="preserve">0.0125 kgCO2e</w:t>
      </w:r>
    </w:p>
    <w:p>
      <w:pPr>
        <w:numPr>
          <w:ilvl w:val="0"/>
          <w:numId w:val="1016"/>
        </w:numPr>
        <w:pStyle w:val="Compact"/>
      </w:pPr>
      <w:r>
        <w:rPr>
          <w:bCs/>
          <w:b/>
        </w:rPr>
        <w:t xml:space="preserve">Total Transport Emissions = 0.14 + 0.0125 = 0.1525 kgCO2e</w:t>
      </w:r>
    </w:p>
    <w:bookmarkEnd w:id="38"/>
    <w:bookmarkStart w:id="39" w:name="use-phase-scope-3---downstream"/>
    <w:p>
      <w:pPr>
        <w:pStyle w:val="Heading4"/>
      </w:pPr>
      <w:r>
        <w:t xml:space="preserve">3.2.4. Use Phase (Scope 3 - Downstream)</w:t>
      </w:r>
    </w:p>
    <w:p>
      <w:pPr>
        <w:pStyle w:val="FirstParagraph"/>
      </w:pPr>
      <w:r>
        <w:t xml:space="preserve">Emissions from electricity consumption during the product\'s lifespan in Europe.</w:t>
      </w:r>
    </w:p>
    <w:p>
      <w:pPr>
        <w:numPr>
          <w:ilvl w:val="0"/>
          <w:numId w:val="1019"/>
        </w:numPr>
        <w:pStyle w:val="Compact"/>
      </w:pPr>
      <w:r>
        <w:t xml:space="preserve">Product Lifespan: 7 years</w:t>
      </w:r>
    </w:p>
    <w:p>
      <w:pPr>
        <w:numPr>
          <w:ilvl w:val="0"/>
          <w:numId w:val="1019"/>
        </w:numPr>
        <w:pStyle w:val="Compact"/>
      </w:pPr>
      <w:r>
        <w:t xml:space="preserve">Energy Consumption per year: 12 kWh/year</w:t>
      </w:r>
    </w:p>
    <w:p>
      <w:pPr>
        <w:numPr>
          <w:ilvl w:val="0"/>
          <w:numId w:val="1019"/>
        </w:numPr>
        <w:pStyle w:val="Compact"/>
      </w:pPr>
      <w:r>
        <w:t xml:space="preserve">Total Energy Consumption over lifespan: 12 kWh/year * 7 years = 84 kWh</w:t>
      </w:r>
    </w:p>
    <w:p>
      <w:pPr>
        <w:numPr>
          <w:ilvl w:val="0"/>
          <w:numId w:val="1019"/>
        </w:numPr>
        <w:pStyle w:val="Compact"/>
      </w:pPr>
      <w:r>
        <w:t xml:space="preserve">Electricity Emission Factor (Europe Average): 0.25 kgCO2e/kWh</w:t>
      </w:r>
    </w:p>
    <w:p>
      <w:pPr>
        <w:numPr>
          <w:ilvl w:val="0"/>
          <w:numId w:val="1019"/>
        </w:numPr>
        <w:pStyle w:val="Compact"/>
      </w:pPr>
      <w:r>
        <w:rPr>
          <w:bCs/>
          <w:b/>
        </w:rPr>
        <w:t xml:space="preserve">Use Phase Emissions:</w:t>
      </w:r>
      <w:r>
        <w:t xml:space="preserve"> </w:t>
      </w:r>
      <w:r>
        <w:t xml:space="preserve">84 kWh * 0.25 kgCO2e/kWh =</w:t>
      </w:r>
      <w:r>
        <w:t xml:space="preserve"> </w:t>
      </w:r>
      <w:r>
        <w:rPr>
          <w:bCs/>
          <w:b/>
        </w:rPr>
        <w:t xml:space="preserve">21.00 kgCO2e</w:t>
      </w:r>
    </w:p>
    <w:bookmarkEnd w:id="39"/>
    <w:bookmarkStart w:id="40" w:name="end-of-life-eol-scope-3---downstream"/>
    <w:p>
      <w:pPr>
        <w:pStyle w:val="Heading4"/>
      </w:pPr>
      <w:r>
        <w:t xml:space="preserve">3.2.5. End-of-Life (EoL) (Scope 3 - Downstream)</w:t>
      </w:r>
    </w:p>
    <w:p>
      <w:pPr>
        <w:pStyle w:val="FirstParagraph"/>
      </w:pPr>
      <w:r>
        <w:t xml:space="preserve">Emissions and credits associated with the disposal and recycling of the product.</w:t>
      </w:r>
    </w:p>
    <w:p>
      <w:pPr>
        <w:numPr>
          <w:ilvl w:val="0"/>
          <w:numId w:val="1020"/>
        </w:numPr>
        <w:pStyle w:val="Compact"/>
      </w:pPr>
      <w:r>
        <w:t xml:space="preserve">Total Product Weight: 0.50 kg</w:t>
      </w:r>
    </w:p>
    <w:p>
      <w:pPr>
        <w:numPr>
          <w:ilvl w:val="0"/>
          <w:numId w:val="1020"/>
        </w:numPr>
        <w:pStyle w:val="Compact"/>
      </w:pPr>
      <w:r>
        <w:t xml:space="preserve">Recyclability Percentage: 75%</w:t>
      </w:r>
    </w:p>
    <w:p>
      <w:pPr>
        <w:numPr>
          <w:ilvl w:val="0"/>
          <w:numId w:val="1020"/>
        </w:numPr>
        <w:pStyle w:val="Compact"/>
      </w:pPr>
      <w:r>
        <w:t xml:space="preserve">Recycled Material: 0.50 kg * 0.75 = 0.375 kg</w:t>
      </w:r>
    </w:p>
    <w:p>
      <w:pPr>
        <w:numPr>
          <w:ilvl w:val="0"/>
          <w:numId w:val="1020"/>
        </w:numPr>
        <w:pStyle w:val="Compact"/>
      </w:pPr>
      <w:r>
        <w:t xml:space="preserve">Landfilled Material: 0.50 kg * (1 - 0.75) = 0.125 kg</w:t>
      </w:r>
    </w:p>
    <w:p>
      <w:pPr>
        <w:numPr>
          <w:ilvl w:val="0"/>
          <w:numId w:val="1020"/>
        </w:numPr>
        <w:pStyle w:val="Compact"/>
      </w:pPr>
      <w:r>
        <w:t xml:space="preserve">Landfill Emissions: 0.125 kg * 0.20 kgCO2e/kg = 0.025 kgCO2e</w:t>
      </w:r>
    </w:p>
    <w:p>
      <w:pPr>
        <w:numPr>
          <w:ilvl w:val="0"/>
          <w:numId w:val="1020"/>
        </w:numPr>
        <w:pStyle w:val="Compact"/>
      </w:pPr>
      <w:r>
        <w:t xml:space="preserve">Recycling Credit: 0.375 kg * -1.50 kgCO2e/kg = -0.5625 kgCO2e</w:t>
      </w:r>
    </w:p>
    <w:p>
      <w:pPr>
        <w:numPr>
          <w:ilvl w:val="0"/>
          <w:numId w:val="1020"/>
        </w:numPr>
        <w:pStyle w:val="Compact"/>
      </w:pPr>
      <w:r>
        <w:t xml:space="preserve">Circular programs (take-back with 15% return) enhance material recovery and recycling efficiency, leading to a stronger credit. For this calculation, the 75% recyclability already reflects this potential.</w:t>
      </w:r>
    </w:p>
    <w:p>
      <w:pPr>
        <w:numPr>
          <w:ilvl w:val="0"/>
          <w:numId w:val="1020"/>
        </w:numPr>
        <w:pStyle w:val="Compact"/>
      </w:pPr>
      <w:r>
        <w:rPr>
          <w:bCs/>
          <w:b/>
        </w:rPr>
        <w:t xml:space="preserve">Total EoL Emissions/Credits:</w:t>
      </w:r>
      <w:r>
        <w:t xml:space="preserve"> </w:t>
      </w:r>
      <w:r>
        <w:t xml:space="preserve">0.025 kgCO2e + (-0.5625 kgCO2e) =</w:t>
      </w:r>
      <w:r>
        <w:t xml:space="preserve"> </w:t>
      </w:r>
      <w:r>
        <w:rPr>
          <w:bCs/>
          <w:b/>
        </w:rPr>
        <w:t xml:space="preserve">-0.5375 kgCO2e</w:t>
      </w:r>
      <w:r>
        <w:t xml:space="preserve"> </w:t>
      </w:r>
      <w:r>
        <w:t xml:space="preserve">(Net Carbon Credit)</w:t>
      </w:r>
    </w:p>
    <w:bookmarkEnd w:id="40"/>
    <w:bookmarkEnd w:id="41"/>
    <w:bookmarkStart w:id="42" w:name="X32c1511b787ccb25627e0ab91a925a884c02a25"/>
    <w:p>
      <w:pPr>
        <w:pStyle w:val="Heading3"/>
      </w:pPr>
      <w:r>
        <w:t xml:space="preserve">3.3. Total Product Carbon Footprint (PCF) for thxvvpgjku</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4.76</w:t>
            </w:r>
          </w:p>
        </w:tc>
        <w:tc>
          <w:tcPr/>
          <w:p>
            <w:pPr>
              <w:pStyle w:val="Compact"/>
              <w:jc w:val="left"/>
            </w:pPr>
            <w:r>
              <w:t xml:space="preserve">17.61%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4.32</w:t>
            </w:r>
          </w:p>
        </w:tc>
        <w:tc>
          <w:tcPr/>
          <w:p>
            <w:pPr>
              <w:pStyle w:val="Compact"/>
              <w:jc w:val="left"/>
            </w:pPr>
            <w:r>
              <w:t xml:space="preserve">15.98%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0.15</w:t>
            </w:r>
          </w:p>
        </w:tc>
        <w:tc>
          <w:tcPr/>
          <w:p>
            <w:pPr>
              <w:pStyle w:val="Compact"/>
              <w:jc w:val="left"/>
            </w:pPr>
            <w:r>
              <w:t xml:space="preserve">0.56%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21.00</w:t>
            </w:r>
          </w:p>
        </w:tc>
        <w:tc>
          <w:tcPr/>
          <w:p>
            <w:pPr>
              <w:pStyle w:val="Compact"/>
              <w:jc w:val="left"/>
            </w:pPr>
            <w:r>
              <w:t xml:space="preserve">77.72%</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-0.54</w:t>
            </w:r>
          </w:p>
        </w:tc>
        <w:tc>
          <w:tcPr/>
          <w:p>
            <w:pPr>
              <w:pStyle w:val="Compact"/>
              <w:jc w:val="left"/>
            </w:pPr>
            <w:r>
              <w:t xml:space="preserve">-2.00%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29.69 kgCO2e</w:t>
            </w:r>
          </w:p>
        </w:tc>
        <w:tc>
          <w:tcPr/>
          <w:p>
            <w:pPr>
              <w:pStyle w:val="Compact"/>
              <w:jc w:val="left"/>
            </w:pPr>
            <w:r>
              <w:rPr>
                <w:bCs/>
                <w:b/>
              </w:rPr>
              <w:t xml:space="preserve">100.00%</w:t>
            </w:r>
          </w:p>
        </w:tc>
      </w:tr>
    </w:tbl>
    <w:p>
      <w:pPr>
        <w:pStyle w:val="BodyText"/>
      </w:pPr>
      <w:r>
        <w:rPr>
          <w:iCs/>
          <w:i/>
        </w:rPr>
        <w:t xml:space="preserve">Note: Percentages are calculated based on the sum of positive emissions.</w:t>
      </w:r>
    </w:p>
    <w:bookmarkEnd w:id="42"/>
    <w:bookmarkStart w:id="43" w:name="scope-3-compliance"/>
    <w:p>
      <w:pPr>
        <w:pStyle w:val="Heading3"/>
      </w:pPr>
      <w:r>
        <w:t xml:space="preserve">3.4. Scope 3 Compliance</w:t>
      </w:r>
    </w:p>
    <w:p>
      <w:pPr>
        <w:pStyle w:val="FirstParagraph"/>
      </w:pPr>
      <w:r>
        <w:t xml:space="preserve">The comprehensive data collection for Raw Materials, Transport, Use Phase, and End-of-Life stages ensures significant coverage of Scope 3 emissions. With detailed BOM, transport logistics, and use phase data, this analysis is estimated to achieve well over</w:t>
      </w:r>
      <w:r>
        <w:t xml:space="preserve"> </w:t>
      </w:r>
      <w:r>
        <w:rPr>
          <w:bCs/>
          <w:b/>
        </w:rPr>
        <w:t xml:space="preserve">95% coverage for Scope 3 reporting</w:t>
      </w:r>
      <w:r>
        <w:t xml:space="preserve">, aligning with 2026 requirements. Specific exclusions (e.g., business travel related to product, capital goods) are deemed immaterial for a single product PCF.</w:t>
      </w:r>
    </w:p>
    <w:p>
      <w:r>
        <w:pict>
          <v:rect style="width:0;height:1.5pt" o:hralign="center" o:hrstd="t" o:hr="t"/>
        </w:pict>
      </w:r>
    </w:p>
    <w:bookmarkEnd w:id="43"/>
    <w:bookmarkEnd w:id="44"/>
    <w:bookmarkStart w:id="48" w:name="review-reporting-step-5"/>
    <w:p>
      <w:pPr>
        <w:pStyle w:val="Heading2"/>
      </w:pPr>
      <w:r>
        <w:t xml:space="preserve">4. Review &amp; Reporting (Step 5)</w:t>
      </w:r>
    </w:p>
    <w:bookmarkStart w:id="45" w:name="emission-hotspots"/>
    <w:p>
      <w:pPr>
        <w:pStyle w:val="Heading3"/>
      </w:pPr>
      <w:r>
        <w:t xml:space="preserve">4.1. Emission Hotspots</w:t>
      </w:r>
    </w:p>
    <w:p>
      <w:pPr>
        <w:pStyle w:val="FirstParagraph"/>
      </w:pPr>
      <w:r>
        <w:t xml:space="preserve">The analysis reveals the following key emission hotspots for \'thxvvpgjku\':</w:t>
      </w:r>
    </w:p>
    <w:p>
      <w:pPr>
        <w:numPr>
          <w:ilvl w:val="0"/>
          <w:numId w:val="1021"/>
        </w:numPr>
        <w:pStyle w:val="Compact"/>
      </w:pPr>
      <w:r>
        <w:rPr>
          <w:bCs/>
          <w:b/>
        </w:rPr>
        <w:t xml:space="preserve">Use Phase (77.72%):</w:t>
      </w:r>
      <w:r>
        <w:t xml:space="preserve"> </w:t>
      </w:r>
      <w:r>
        <w:t xml:space="preserve">This is by far the largest contributor to the product\'s carbon footprint, primarily due to electricity consumption over the 7-year lifespan. This highlights the critical importance of energy efficiency during product operation.</w:t>
      </w:r>
    </w:p>
    <w:p>
      <w:pPr>
        <w:numPr>
          <w:ilvl w:val="0"/>
          <w:numId w:val="1021"/>
        </w:numPr>
        <w:pStyle w:val="Compact"/>
      </w:pPr>
      <w:r>
        <w:rPr>
          <w:bCs/>
          <w:b/>
        </w:rPr>
        <w:t xml:space="preserve">Raw Material Acquisition &amp; Pre-processing (17.61%):</w:t>
      </w:r>
      <w:r>
        <w:t xml:space="preserve"> </w:t>
      </w:r>
      <w:r>
        <w:t xml:space="preserve">The embodied emissions in materials, particularly from high-impact components like the Circuit Board (PCBA) and Lithium-ion Battery, contribute significantly to the upstream footprint.</w:t>
      </w:r>
    </w:p>
    <w:p>
      <w:pPr>
        <w:numPr>
          <w:ilvl w:val="0"/>
          <w:numId w:val="1021"/>
        </w:numPr>
        <w:pStyle w:val="Compact"/>
      </w:pPr>
      <w:r>
        <w:rPr>
          <w:bCs/>
          <w:b/>
        </w:rPr>
        <w:t xml:space="preserve">Manufacturing (Scope 2, 15.98%):</w:t>
      </w:r>
      <w:r>
        <w:t xml:space="preserve"> </w:t>
      </w:r>
      <w:r>
        <w:t xml:space="preserve">Despite 60% renewable energy usage, the remaining grid electricity from China\'s mix presents a notable impact.</w:t>
      </w:r>
    </w:p>
    <w:p>
      <w:pPr>
        <w:numPr>
          <w:ilvl w:val="0"/>
          <w:numId w:val="1021"/>
        </w:numPr>
        <w:pStyle w:val="Compact"/>
      </w:pPr>
      <w:r>
        <w:rPr>
          <w:bCs/>
          <w:b/>
        </w:rPr>
        <w:t xml:space="preserve">Transport (0.56%):</w:t>
      </w:r>
      <w:r>
        <w:t xml:space="preserve"> </w:t>
      </w:r>
      <w:r>
        <w:t xml:space="preserve">While long-distance ocean freight is involved, the emissions per unit weight are relatively low compared to other stages, making transport a minor hotspot in this specific PCF.</w:t>
      </w:r>
    </w:p>
    <w:p>
      <w:pPr>
        <w:numPr>
          <w:ilvl w:val="0"/>
          <w:numId w:val="1021"/>
        </w:numPr>
        <w:pStyle w:val="Compact"/>
      </w:pPr>
      <w:r>
        <w:rPr>
          <w:bCs/>
          <w:b/>
        </w:rPr>
        <w:t xml:space="preserve">End-of-Life (Net Credit of -2.00%):</w:t>
      </w:r>
      <w:r>
        <w:t xml:space="preserve"> </w:t>
      </w:r>
      <w:r>
        <w:t xml:space="preserve">The high recyclability and the presence of circular/take-back programs result in a net carbon credit, indicating avoided emissions from virgin material production. This demonstrates the positive impact of circular economy initiatives.</w:t>
      </w:r>
    </w:p>
    <w:bookmarkEnd w:id="45"/>
    <w:bookmarkStart w:id="46" w:name="reliability-and-limitations"/>
    <w:p>
      <w:pPr>
        <w:pStyle w:val="Heading3"/>
      </w:pPr>
      <w:r>
        <w:t xml:space="preserve">4.2. Reliability and Limitations</w:t>
      </w:r>
    </w:p>
    <w:p>
      <w:pPr>
        <w:pStyle w:val="FirstParagraph"/>
      </w:pPr>
      <w:r>
        <w:t xml:space="preserve">The reliability of this PCF is considered high due to the utilization of specific primary data for BOM, energy consumption, transport, and EoL scenarios. However, inherent limitations include:</w:t>
      </w:r>
    </w:p>
    <w:p>
      <w:pPr>
        <w:numPr>
          <w:ilvl w:val="0"/>
          <w:numId w:val="1022"/>
        </w:numPr>
        <w:pStyle w:val="Compact"/>
      </w:pPr>
      <w:r>
        <w:t xml:space="preserve">Reliance on secondary (industry-average) emission factors for some materials and processes where specific supplier data was not available.</w:t>
      </w:r>
    </w:p>
    <w:p>
      <w:pPr>
        <w:numPr>
          <w:ilvl w:val="0"/>
          <w:numId w:val="1022"/>
        </w:numPr>
        <w:pStyle w:val="Compact"/>
      </w:pPr>
      <w:r>
        <w:t xml:space="preserve">Assumptions regarding the specific blend of ocean and road freight and last-mile distances.</w:t>
      </w:r>
    </w:p>
    <w:p>
      <w:pPr>
        <w:numPr>
          <w:ilvl w:val="0"/>
          <w:numId w:val="1022"/>
        </w:numPr>
        <w:pStyle w:val="Compact"/>
      </w:pPr>
      <w:r>
        <w:t xml:space="preserve">General estimates for the European electricity grid mix during the use phase.</w:t>
      </w:r>
    </w:p>
    <w:p>
      <w:pPr>
        <w:numPr>
          <w:ilvl w:val="0"/>
          <w:numId w:val="1022"/>
        </w:numPr>
        <w:pStyle w:val="Compact"/>
      </w:pPr>
      <w:r>
        <w:t xml:space="preserve">Conceptual application of the LSR standard without highly granular land use data at a component level.</w:t>
      </w:r>
    </w:p>
    <w:bookmarkEnd w:id="46"/>
    <w:bookmarkStart w:id="47" w:name="X24343f330c456ef927c064809c3053f31f82c05"/>
    <w:p>
      <w:pPr>
        <w:pStyle w:val="Heading3"/>
      </w:pPr>
      <w:r>
        <w:t xml:space="preserve">4.3. Key Insights and Recommendations for jylvwtkhqq</w:t>
      </w:r>
    </w:p>
    <w:p>
      <w:pPr>
        <w:numPr>
          <w:ilvl w:val="0"/>
          <w:numId w:val="1023"/>
        </w:numPr>
        <w:pStyle w:val="Compact"/>
      </w:pPr>
      <w:r>
        <w:rPr>
          <w:bCs/>
          <w:b/>
        </w:rPr>
        <w:t xml:space="preserve">Prioritize Use Phase Efficiency:</w:t>
      </w:r>
      <w:r>
        <w:t xml:space="preserve"> </w:t>
      </w:r>
      <w:r>
        <w:t xml:space="preserve">Given the dominance of use phase emissions, \'jylvwtkhqq\' should invest heavily in R&amp;D to improve the energy efficiency of \'thxvvpgjku\' during its operation. This could involve lower power components, smarter energy management features, or longer battery life reducing charging frequency.</w:t>
      </w:r>
    </w:p>
    <w:p>
      <w:pPr>
        <w:numPr>
          <w:ilvl w:val="0"/>
          <w:numId w:val="1023"/>
        </w:numPr>
        <w:pStyle w:val="Compact"/>
      </w:pPr>
      <w:r>
        <w:rPr>
          <w:bCs/>
          <w:b/>
        </w:rPr>
        <w:t xml:space="preserve">Sustainable Material Sourcing:</w:t>
      </w:r>
      <w:r>
        <w:t xml:space="preserve"> </w:t>
      </w:r>
      <w:r>
        <w:t xml:space="preserve">Focus on engaging with suppliers for high-impact components (PCBA, batteries, aluminum) to explore lower-carbon alternatives, recycled content, or materials produced with renewable energy.</w:t>
      </w:r>
    </w:p>
    <w:p>
      <w:pPr>
        <w:numPr>
          <w:ilvl w:val="0"/>
          <w:numId w:val="1023"/>
        </w:numPr>
        <w:pStyle w:val="Compact"/>
      </w:pPr>
      <w:r>
        <w:rPr>
          <w:bCs/>
          <w:b/>
        </w:rPr>
        <w:t xml:space="preserve">Decarbonize Manufacturing:</w:t>
      </w:r>
      <w:r>
        <w:t xml:space="preserve"> </w:t>
      </w:r>
      <w:r>
        <w:t xml:space="preserve">While 60% renewable energy is good, increasing this percentage at the China production facility, or sourcing renewable energy certificates, would further reduce Scope 2 emissions.</w:t>
      </w:r>
    </w:p>
    <w:p>
      <w:pPr>
        <w:numPr>
          <w:ilvl w:val="0"/>
          <w:numId w:val="1023"/>
        </w:numPr>
        <w:pStyle w:val="Compact"/>
      </w:pPr>
      <w:r>
        <w:rPr>
          <w:bCs/>
          <w:b/>
        </w:rPr>
        <w:t xml:space="preserve">Strengthen Circularity:</w:t>
      </w:r>
      <w:r>
        <w:t xml:space="preserve"> </w:t>
      </w:r>
      <w:r>
        <w:t xml:space="preserve">Continue to promote and expand the existing take-back programs and explore innovative business models (e.g., product-as-a-service) to maximize material recovery and extend product utility.</w:t>
      </w:r>
    </w:p>
    <w:p>
      <w:pPr>
        <w:numPr>
          <w:ilvl w:val="0"/>
          <w:numId w:val="1023"/>
        </w:numPr>
        <w:pStyle w:val="Compact"/>
      </w:pPr>
      <w:r>
        <w:rPr>
          <w:bCs/>
          <w:b/>
        </w:rPr>
        <w:t xml:space="preserve">Detailed Supplier Engagement:</w:t>
      </w:r>
      <w:r>
        <w:t xml:space="preserve"> </w:t>
      </w:r>
      <w:r>
        <w:t xml:space="preserve">For future iterations, collect primary emission data directly from key component suppliers to refine Scope 3 upstream calculations and identify more granular hotspots.</w:t>
      </w:r>
    </w:p>
    <w:p>
      <w:r>
        <w:pict>
          <v:rect style="width:0;height:1.5pt" o:hralign="center" o:hrstd="t" o:hr="t"/>
        </w:pict>
      </w:r>
    </w:p>
    <w:p>
      <w:pPr>
        <w:pStyle w:val="FirstParagraph"/>
      </w:pPr>
      <w:r>
        <w:t xml:space="preserve">Confidential - Internal Use Only | Senior Sustainability Consultant: ykoujrgzvz</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thxvvpgjku</dc:title>
  <dc:creator/>
  <dc:description>Detailed Product Carbon Footprint (PCF) analysis report for thxvvpgjku by jylvwtkhqq, adhering to GHG Protocol and 2026 LSR update.</dc:description>
  <dc:language>en</dc:language>
  <cp:keywords/>
  <dcterms:created xsi:type="dcterms:W3CDTF">2026-05-30T16:48:27Z</dcterms:created>
  <dcterms:modified xsi:type="dcterms:W3CDTF">2026-05-30T16:48:27Z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