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Product</w:t>
      </w:r>
      <w:r>
        <w:t xml:space="preserve"> </w:t>
      </w:r>
      <w:r>
        <w:t xml:space="preserve">Carbon</w:t>
      </w:r>
      <w:r>
        <w:t xml:space="preserve"> </w:t>
      </w:r>
      <w:r>
        <w:t xml:space="preserve">Footprint</w:t>
      </w:r>
      <w:r>
        <w:t xml:space="preserve"> </w:t>
      </w:r>
      <w:r>
        <w:t xml:space="preserve">Report</w:t>
      </w:r>
      <w:r>
        <w:t xml:space="preserve"> </w:t>
      </w:r>
      <w:r>
        <w:t xml:space="preserve">for</w:t>
      </w:r>
      <w:r>
        <w:t xml:space="preserve"> </w:t>
      </w:r>
      <w:r>
        <w:t xml:space="preserve">tgserledew</w:t>
      </w:r>
    </w:p>
    <w:p>
      <w:pPr>
        <w:pStyle w:val="FirstParagraph"/>
      </w:pPr>
      <w:r>
        <w:t xml:space="preserve">carboncalcpcf.com</w:t>
      </w:r>
    </w:p>
    <w:bookmarkStart w:id="20" w:name="product-carbon-footprint-analysis-report"/>
    <w:p>
      <w:pPr>
        <w:pStyle w:val="Heading1"/>
      </w:pPr>
      <w:r>
        <w:t xml:space="preserve">Product Carbon Footprint Analysis Report</w:t>
      </w:r>
    </w:p>
    <w:p>
      <w:pPr>
        <w:pStyle w:val="FirstParagraph"/>
      </w:pPr>
      <w:r>
        <w:rPr>
          <w:bCs/>
          <w:b/>
        </w:rPr>
        <w:t xml:space="preserve">Product:</w:t>
      </w:r>
      <w:r>
        <w:t xml:space="preserve"> </w:t>
      </w:r>
      <w:r>
        <w:t xml:space="preserve">tgserledew</w:t>
      </w:r>
    </w:p>
    <w:p>
      <w:pPr>
        <w:pStyle w:val="BodyText"/>
      </w:pPr>
      <w:r>
        <w:rPr>
          <w:bCs/>
          <w:b/>
        </w:rPr>
        <w:t xml:space="preserve">Company:</w:t>
      </w:r>
      <w:r>
        <w:t xml:space="preserve"> </w:t>
      </w:r>
      <w:r>
        <w:t xml:space="preserve">ttmvsrjplg</w:t>
      </w:r>
    </w:p>
    <w:p>
      <w:pPr>
        <w:pStyle w:val="BodyText"/>
      </w:pPr>
      <w:r>
        <w:rPr>
          <w:bCs/>
          <w:b/>
        </w:rPr>
        <w:t xml:space="preserve">Senior Sustainability Consultant:</w:t>
      </w:r>
      <w:r>
        <w:t xml:space="preserve"> </w:t>
      </w:r>
      <w:r>
        <w:t xml:space="preserve">klvtspguep</w:t>
      </w:r>
    </w:p>
    <w:p>
      <w:pPr>
        <w:pStyle w:val="BodyText"/>
      </w:pPr>
      <w:r>
        <w:rPr>
          <w:bCs/>
          <w:b/>
        </w:rPr>
        <w:t xml:space="preserve">Accounting Standard:</w:t>
      </w:r>
      <w:r>
        <w:t xml:space="preserve"> </w:t>
      </w:r>
      <w:r>
        <w:t xml:space="preserve">GHG Protocol</w:t>
      </w:r>
    </w:p>
    <w:p>
      <w:pPr>
        <w:pStyle w:val="BodyText"/>
      </w:pPr>
      <w:r>
        <w:t xml:space="preserve">This report is generated based on available data and industry standards. The calculations herein are illustrative, utilizing assumed parameters where specific values were indicated by placeholders in the request, to demonstrate the methodology and reporting structure.</w:t>
      </w:r>
    </w:p>
    <w:bookmarkEnd w:id="20"/>
    <w:bookmarkStart w:id="57" w:name="Xe617e61d4959fdc133de7a970d5005bedd04525"/>
    <w:p>
      <w:pPr>
        <w:pStyle w:val="Heading1"/>
      </w:pPr>
      <w:r>
        <w:t xml:space="preserve">Product Carbon Footprint Analysis Report for tgserledew</w:t>
      </w:r>
    </w:p>
    <w:p>
      <w:pPr>
        <w:pStyle w:val="FirstParagraph"/>
      </w:pPr>
      <w:r>
        <w:rPr>
          <w:bCs/>
          <w:b/>
        </w:rPr>
        <w:t xml:space="preserve">Generated Date:</w:t>
      </w:r>
      <w:r>
        <w:t xml:space="preserve"> </w:t>
      </w:r>
      <w:r>
        <w:t xml:space="preserve">May 21, 2026</w:t>
      </w:r>
    </w:p>
    <w:p>
      <w:r>
        <w:pict>
          <v:rect style="width:0;height:1.5pt" o:hralign="center" o:hrstd="t" o:hr="t"/>
        </w:pict>
      </w:r>
    </w:p>
    <w:bookmarkStart w:id="21" w:name="executive-summary"/>
    <w:p>
      <w:pPr>
        <w:pStyle w:val="Heading2"/>
      </w:pPr>
      <w:r>
        <w:t xml:space="preserve">Executive Summary</w:t>
      </w:r>
    </w:p>
    <w:p>
      <w:pPr>
        <w:pStyle w:val="FirstParagraph"/>
      </w:pPr>
      <w:r>
        <w:t xml:space="preserve">This high-detail Product Carbon Footprint (PCF) analysis, performed by klvtspguep, Senior Sustainability Consultant, for ttmvsrjplg\'s product tgserledew, quantifies the greenhouse gas (GHG) emissions across its lifecycle. Adhering to the GHG Protocol, including a conceptual application of the 2026 Land Sector and Removals (LSR) Standard and ensuring 95% Scope 3 coverage, this report identifies emission hotspots from raw material acquisition, manufacturing, transportation, use, and end-of-life phases. The analysis provides crucial insights for ttmvsrjplg to enhance product sustainability and drive targeted emission reduction strategies.</w:t>
      </w:r>
    </w:p>
    <w:p>
      <w:r>
        <w:pict>
          <v:rect style="width:0;height:1.5pt" o:hralign="center" o:hrstd="t" o:hr="t"/>
        </w:pict>
      </w:r>
    </w:p>
    <w:bookmarkEnd w:id="21"/>
    <w:bookmarkStart w:id="27" w:name="define-scope"/>
    <w:p>
      <w:pPr>
        <w:pStyle w:val="Heading2"/>
      </w:pPr>
      <w:r>
        <w:t xml:space="preserve">1. Define Scope</w:t>
      </w:r>
    </w:p>
    <w:bookmarkStart w:id="22" w:name="functional-unit"/>
    <w:p>
      <w:pPr>
        <w:pStyle w:val="Heading3"/>
      </w:pPr>
      <w:r>
        <w:t xml:space="preserve">Functional Unit</w:t>
      </w:r>
    </w:p>
    <w:p>
      <w:pPr>
        <w:numPr>
          <w:ilvl w:val="0"/>
          <w:numId w:val="1001"/>
        </w:numPr>
        <w:pStyle w:val="Compact"/>
      </w:pPr>
      <w:r>
        <w:t xml:space="preserve">The functional unit for this PCF analysis is defined as:</w:t>
      </w:r>
      <w:r>
        <w:t xml:space="preserve"> </w:t>
      </w:r>
      <w:r>
        <w:rPr>
          <w:bCs/>
          <w:b/>
        </w:rPr>
        <w:t xml:space="preserve">1.0 unit of tgserledew</w:t>
      </w:r>
      <w:r>
        <w:t xml:space="preserve">.</w:t>
      </w:r>
    </w:p>
    <w:bookmarkEnd w:id="22"/>
    <w:bookmarkStart w:id="23" w:name="system-boundary"/>
    <w:p>
      <w:pPr>
        <w:pStyle w:val="Heading3"/>
      </w:pPr>
      <w:r>
        <w:t xml:space="preserve">System Boundary</w:t>
      </w:r>
    </w:p>
    <w:p>
      <w:pPr>
        <w:numPr>
          <w:ilvl w:val="0"/>
          <w:numId w:val="1002"/>
        </w:numPr>
        <w:pStyle w:val="Compact"/>
      </w:pPr>
      <w:r>
        <w:t xml:space="preserve">The system boundary is primarily</w:t>
      </w:r>
      <w:r>
        <w:t xml:space="preserve"> </w:t>
      </w:r>
      <w:r>
        <w:rPr>
          <w:bCs/>
          <w:b/>
        </w:rPr>
        <w:t xml:space="preserve">factory_gate</w:t>
      </w:r>
      <w:r>
        <w:t xml:space="preserve">, encompassing raw material extraction, processing, inbound transportation, and manufacturing up to the point the product leaves the factory. However, to provide a comprehensive product lifecycle assessment as requested by the detailed parameters, additional downstream Scope 3 categories (downstream transport, use phase, and end-of-life) are also included in the analysis.</w:t>
      </w:r>
    </w:p>
    <w:bookmarkEnd w:id="23"/>
    <w:bookmarkStart w:id="24" w:name="geographic-scope"/>
    <w:p>
      <w:pPr>
        <w:pStyle w:val="Heading3"/>
      </w:pPr>
      <w:r>
        <w:t xml:space="preserve">Geographic Scope</w:t>
      </w:r>
    </w:p>
    <w:p>
      <w:pPr>
        <w:numPr>
          <w:ilvl w:val="0"/>
          <w:numId w:val="1003"/>
        </w:numPr>
        <w:pStyle w:val="Compact"/>
      </w:pPr>
      <w:r>
        <w:rPr>
          <w:bCs/>
          <w:b/>
        </w:rPr>
        <w:t xml:space="preserve">Final Production Country:</w:t>
      </w:r>
      <w:r>
        <w:t xml:space="preserve"> </w:t>
      </w:r>
      <w:r>
        <w:t xml:space="preserve">China</w:t>
      </w:r>
    </w:p>
    <w:p>
      <w:pPr>
        <w:numPr>
          <w:ilvl w:val="0"/>
          <w:numId w:val="1003"/>
        </w:numPr>
        <w:pStyle w:val="Compact"/>
      </w:pPr>
      <w:r>
        <w:rPr>
          <w:bCs/>
          <w:b/>
        </w:rPr>
        <w:t xml:space="preserve">Supply Chain Focus:</w:t>
      </w:r>
      <w:r>
        <w:t xml:space="preserve"> </w:t>
      </w:r>
      <w:r>
        <w:t xml:space="preserve">Europe Focused (for downstream distribution, use phase, and end-of-life scenarios).</w:t>
      </w:r>
    </w:p>
    <w:bookmarkEnd w:id="24"/>
    <w:bookmarkStart w:id="25" w:name="accounting-standard"/>
    <w:p>
      <w:pPr>
        <w:pStyle w:val="Heading3"/>
      </w:pPr>
      <w:r>
        <w:t xml:space="preserve">Accounting Standard</w:t>
      </w:r>
    </w:p>
    <w:p>
      <w:pPr>
        <w:numPr>
          <w:ilvl w:val="0"/>
          <w:numId w:val="1004"/>
        </w:numPr>
        <w:pStyle w:val="Compact"/>
      </w:pPr>
      <w:r>
        <w:t xml:space="preserve">This PCF analysis is conducted in strict accordance with the</w:t>
      </w:r>
      <w:r>
        <w:t xml:space="preserve"> </w:t>
      </w:r>
      <w:r>
        <w:rPr>
          <w:bCs/>
          <w:b/>
        </w:rPr>
        <w:t xml:space="preserve">GHG Protocol</w:t>
      </w:r>
      <w:r>
        <w:t xml:space="preserve"> </w:t>
      </w:r>
      <w:r>
        <w:t xml:space="preserve">standards. Emissions are categorized into Scope 1 (direct emissions), Scope 2 (indirect emissions from purchased energy), and Scope 3 (all other indirect value chain emissions) to ensure comprehensive and transparent reporting.</w:t>
      </w:r>
    </w:p>
    <w:bookmarkEnd w:id="25"/>
    <w:bookmarkStart w:id="26" w:name="allocation"/>
    <w:p>
      <w:pPr>
        <w:pStyle w:val="Heading3"/>
      </w:pPr>
      <w:r>
        <w:t xml:space="preserve">Allocation</w:t>
      </w:r>
    </w:p>
    <w:p>
      <w:pPr>
        <w:numPr>
          <w:ilvl w:val="0"/>
          <w:numId w:val="1005"/>
        </w:numPr>
        <w:pStyle w:val="Compact"/>
      </w:pPr>
      <w:r>
        <w:t xml:space="preserve">Emissions are allocated directly to the functional unit (1.0 unit of tgserledew). Where shared processes (e.g., transportation of multiple goods) occur, mass-based allocation is applied. For recycling, a closed-loop allocation approach (or system expansion where appropriate to attribute avoided emissions) is used to reflect the benefits of circularity.</w:t>
      </w:r>
    </w:p>
    <w:p>
      <w:r>
        <w:pict>
          <v:rect style="width:0;height:1.5pt" o:hralign="center" o:hrstd="t" o:hr="t"/>
        </w:pict>
      </w:r>
    </w:p>
    <w:bookmarkEnd w:id="26"/>
    <w:bookmarkEnd w:id="27"/>
    <w:bookmarkStart w:id="33" w:name="map-lifecycle-lci-inventory-stages"/>
    <w:p>
      <w:pPr>
        <w:pStyle w:val="Heading2"/>
      </w:pPr>
      <w:r>
        <w:t xml:space="preserve">2. Map Lifecycle (LCI Inventory Stages)</w:t>
      </w:r>
    </w:p>
    <w:p>
      <w:pPr>
        <w:pStyle w:val="FirstParagraph"/>
      </w:pPr>
      <w:r>
        <w:t xml:space="preserve">The lifecycle of tgserledew has been mapped across five key stages, each contributing to the product\'s overall carbon footprint:</w:t>
      </w:r>
    </w:p>
    <w:p>
      <w:pPr>
        <w:numPr>
          <w:ilvl w:val="0"/>
          <w:numId w:val="1006"/>
        </w:numPr>
        <w:pStyle w:val="Heading3"/>
      </w:pPr>
      <w:bookmarkStart w:id="28" w:name="Xfc7102374c5b2576d25d300c196572624d3c9d4"/>
      <w:r>
        <w:t xml:space="preserve">Materials Acquisition &amp; Pre-processing (Upstream - Scope 3, Category 1)</w:t>
      </w:r>
      <w:bookmarkEnd w:id="28"/>
    </w:p>
    <w:p>
      <w:pPr>
        <w:numPr>
          <w:ilvl w:val="0"/>
          <w:numId w:val="1000"/>
        </w:numPr>
      </w:pPr>
      <w:r>
        <w:t xml:space="preserve">This stage includes the extraction, processing, and initial manufacturing of all raw materials and components listed in the Detailed Bill of Materials (BOM) for tgserledew. This covers a wide range of materials such as polymers for casing, electronic components, metals for fasteners, and packaging materials.</w:t>
      </w:r>
    </w:p>
    <w:p>
      <w:pPr>
        <w:numPr>
          <w:ilvl w:val="1"/>
          <w:numId w:val="1007"/>
        </w:numPr>
        <w:pStyle w:val="Compact"/>
      </w:pPr>
      <w:r>
        <w:rPr>
          <w:bCs/>
          <w:b/>
        </w:rPr>
        <w:t xml:space="preserve">Key Inputs:</w:t>
      </w:r>
      <w:r>
        <w:t xml:space="preserve"> </w:t>
      </w:r>
      <w:r>
        <w:t xml:space="preserve">Virgin plastics, various metals, electronic sub-assemblies, paper/cardboard.</w:t>
      </w:r>
    </w:p>
    <w:p>
      <w:pPr>
        <w:numPr>
          <w:ilvl w:val="0"/>
          <w:numId w:val="1006"/>
        </w:numPr>
        <w:pStyle w:val="Heading3"/>
      </w:pPr>
      <w:bookmarkStart w:id="29" w:name="Xf69ac4bda474af6997d7dbed9b8c0179eead323"/>
      <w:r>
        <w:t xml:space="preserve">Manufacturing (Core Operations - Scope 1 &amp; 2)</w:t>
      </w:r>
      <w:bookmarkEnd w:id="29"/>
    </w:p>
    <w:p>
      <w:pPr>
        <w:numPr>
          <w:ilvl w:val="0"/>
          <w:numId w:val="1000"/>
        </w:numPr>
      </w:pPr>
      <w:r>
        <w:t xml:space="preserve">This phase covers all processes occurring at ttmvsrjplg\'s production facility in China, including assembly, molding, finishing, and packaging. It accounts for direct emissions from on-site operations (Scope 1, if applicable) and indirect emissions from purchased electricity (Scope 2).</w:t>
      </w:r>
    </w:p>
    <w:p>
      <w:pPr>
        <w:numPr>
          <w:ilvl w:val="1"/>
          <w:numId w:val="1008"/>
        </w:numPr>
        <w:pStyle w:val="Compact"/>
      </w:pPr>
      <w:r>
        <w:rPr>
          <w:bCs/>
          <w:b/>
        </w:rPr>
        <w:t xml:space="preserve">Key Inputs:</w:t>
      </w:r>
      <w:r>
        <w:t xml:space="preserve"> </w:t>
      </w:r>
      <w:r>
        <w:t xml:space="preserve">Electricity (grid mix and renewable sources), process heat (if applicable), operational waste.</w:t>
      </w:r>
    </w:p>
    <w:p>
      <w:pPr>
        <w:numPr>
          <w:ilvl w:val="0"/>
          <w:numId w:val="1006"/>
        </w:numPr>
        <w:pStyle w:val="Heading3"/>
      </w:pPr>
      <w:bookmarkStart w:id="30" w:name="Xdf8c1536d963c4df1077eb4b9c40c7ba31ea454"/>
      <w:r>
        <w:t xml:space="preserve">Transportation &amp; Distribution (Upstream &amp; Downstream - Scope 3, Categories 4 &amp; 9)</w:t>
      </w:r>
      <w:bookmarkEnd w:id="30"/>
    </w:p>
    <w:p>
      <w:pPr>
        <w:numPr>
          <w:ilvl w:val="0"/>
          <w:numId w:val="1000"/>
        </w:numPr>
      </w:pPr>
      <w:r>
        <w:t xml:space="preserve">This stage accounts for all logistical movements throughout the product\'s value chain:</w:t>
      </w:r>
    </w:p>
    <w:p>
      <w:pPr>
        <w:numPr>
          <w:ilvl w:val="1"/>
          <w:numId w:val="1009"/>
        </w:numPr>
        <w:pStyle w:val="Compact"/>
      </w:pPr>
      <w:r>
        <w:rPr>
          <w:bCs/>
          <w:b/>
        </w:rPr>
        <w:t xml:space="preserve">Upstream Transportation (Scope 3, Category 4):</w:t>
      </w:r>
      <w:r>
        <w:t xml:space="preserve"> </w:t>
      </w:r>
      <w:r>
        <w:t xml:space="preserve">Transport of raw materials and components to the manufacturing facility in China.</w:t>
      </w:r>
    </w:p>
    <w:p>
      <w:pPr>
        <w:numPr>
          <w:ilvl w:val="1"/>
          <w:numId w:val="1009"/>
        </w:numPr>
        <w:pStyle w:val="Compact"/>
      </w:pPr>
      <w:r>
        <w:rPr>
          <w:bCs/>
          <w:b/>
        </w:rPr>
        <w:t xml:space="preserve">Downstream Transportation (Scope 3, Category 9):</w:t>
      </w:r>
      <w:r>
        <w:t xml:space="preserve"> </w:t>
      </w:r>
      <w:r>
        <w:t xml:space="preserve">Transport of the finished product from the manufacturing facility in China to distribution centers in Europe, including inter-modal transport (e.g., ocean freight, air freight, road freight) and last-mile delivery to customers.</w:t>
      </w:r>
    </w:p>
    <w:p>
      <w:pPr>
        <w:numPr>
          <w:ilvl w:val="1"/>
          <w:numId w:val="1009"/>
        </w:numPr>
        <w:pStyle w:val="Compact"/>
      </w:pPr>
      <w:r>
        <w:rPr>
          <w:bCs/>
          <w:b/>
        </w:rPr>
        <w:t xml:space="preserve">Key Inputs:</w:t>
      </w:r>
      <w:r>
        <w:t xml:space="preserve"> </w:t>
      </w:r>
      <w:r>
        <w:t xml:space="preserve">Diesel, heavy fuel oil (for shipping), jet fuel (for air freight), electricity (for potential rail/electric vehicles).</w:t>
      </w:r>
    </w:p>
    <w:p>
      <w:pPr>
        <w:numPr>
          <w:ilvl w:val="0"/>
          <w:numId w:val="1006"/>
        </w:numPr>
        <w:pStyle w:val="Heading3"/>
      </w:pPr>
      <w:bookmarkStart w:id="31" w:name="X01fffecb4d51cf9638741502492363d57dc681a"/>
      <w:r>
        <w:t xml:space="preserve">Use Phase (Downstream - Scope 3, Category 11)</w:t>
      </w:r>
      <w:bookmarkEnd w:id="31"/>
    </w:p>
    <w:p>
      <w:pPr>
        <w:numPr>
          <w:ilvl w:val="0"/>
          <w:numId w:val="1000"/>
        </w:numPr>
      </w:pPr>
      <w:r>
        <w:t xml:space="preserve">This phase covers the emissions generated during the typical usage of tgserledew over its entire lifespan. For electronic products, this primarily includes electricity consumption by the end-user.</w:t>
      </w:r>
    </w:p>
    <w:p>
      <w:pPr>
        <w:numPr>
          <w:ilvl w:val="1"/>
          <w:numId w:val="1010"/>
        </w:numPr>
        <w:pStyle w:val="Compact"/>
      </w:pPr>
      <w:r>
        <w:rPr>
          <w:bCs/>
          <w:b/>
        </w:rPr>
        <w:t xml:space="preserve">Key Inputs:</w:t>
      </w:r>
      <w:r>
        <w:t xml:space="preserve"> </w:t>
      </w:r>
      <w:r>
        <w:t xml:space="preserve">Electricity consumed by the end-user.</w:t>
      </w:r>
    </w:p>
    <w:p>
      <w:pPr>
        <w:numPr>
          <w:ilvl w:val="0"/>
          <w:numId w:val="1006"/>
        </w:numPr>
        <w:pStyle w:val="Heading3"/>
      </w:pPr>
      <w:bookmarkStart w:id="32" w:name="Xfd069e7e5106f6c55e532b52df751e12046219f"/>
      <w:r>
        <w:t xml:space="preserve">End-of-Life (Downstream - Scope 3, Category 12)</w:t>
      </w:r>
      <w:bookmarkEnd w:id="32"/>
    </w:p>
    <w:p>
      <w:pPr>
        <w:numPr>
          <w:ilvl w:val="0"/>
          <w:numId w:val="1000"/>
        </w:numPr>
      </w:pPr>
      <w:r>
        <w:t xml:space="preserve">The final stage addresses the emissions and potential avoided emissions associated with the disposal or recycling of tgserledew and its packaging at the end of its functional life. Circular economy initiatives play a significant role here.</w:t>
      </w:r>
    </w:p>
    <w:p>
      <w:pPr>
        <w:numPr>
          <w:ilvl w:val="1"/>
          <w:numId w:val="1011"/>
        </w:numPr>
        <w:pStyle w:val="Compact"/>
      </w:pPr>
      <w:r>
        <w:rPr>
          <w:bCs/>
          <w:b/>
        </w:rPr>
        <w:t xml:space="preserve">Key Inputs:</w:t>
      </w:r>
      <w:r>
        <w:t xml:space="preserve"> </w:t>
      </w:r>
      <w:r>
        <w:t xml:space="preserve">Waste management processes (landfilling, incineration, recycling infrastructure), avoided emissions from material substitution through recycling.</w:t>
      </w:r>
    </w:p>
    <w:p>
      <w:r>
        <w:pict>
          <v:rect style="width:0;height:1.5pt" o:hralign="center" o:hrstd="t" o:hr="t"/>
        </w:pict>
      </w:r>
    </w:p>
    <w:bookmarkEnd w:id="33"/>
    <w:bookmarkStart w:id="39" w:name="collect-data"/>
    <w:p>
      <w:pPr>
        <w:pStyle w:val="Heading2"/>
      </w:pPr>
      <w:r>
        <w:t xml:space="preserve">3. Collect Data</w:t>
      </w:r>
    </w:p>
    <w:p>
      <w:pPr>
        <w:pStyle w:val="FirstParagraph"/>
      </w:pPr>
      <w:r>
        <w:t xml:space="preserve">Data collection involved gathering primary data (where available) and leveraging high-quality secondary data from industry-standard databases such as Ecoinvent and DEFRA for emission factors. The following parameters and data points were used:</w:t>
      </w:r>
    </w:p>
    <w:bookmarkStart w:id="34" w:name="Xcf38ffd3021d0dda8b1de8fd274029b93511113"/>
    <w:p>
      <w:pPr>
        <w:pStyle w:val="Heading3"/>
      </w:pPr>
      <w:r>
        <w:t xml:space="preserve">Detailed Bill of Materials (BOM) - hdwtmjfg</w:t>
      </w:r>
    </w:p>
    <w:p>
      <w:pPr>
        <w:pStyle w:val="FirstParagraph"/>
      </w:pPr>
      <w:r>
        <w:t xml:space="preserve">The following table details the material inputs for tgserledew. The \'Total Carbon\' values are used directly for material impact calculation as provided.</w:t>
      </w:r>
    </w:p>
    <w:tbl>
      <w:tblPr>
        <w:tblStyle w:val="Table"/>
        <w:tblW w:type="auto" w:w="0"/>
        <w:tblLook w:firstRow="1" w:lastRow="1" w:firstColumn="0" w:lastColumn="0" w:noHBand="0" w:noVBand="0" w:val="0020"/>
        <w:jc w:val="start"/>
      </w:tblPr>
      <w:tblGrid>
        <w:gridCol w:w="990"/>
        <w:gridCol w:w="990"/>
        <w:gridCol w:w="990"/>
        <w:gridCol w:w="990"/>
        <w:gridCol w:w="990"/>
        <w:gridCol w:w="990"/>
        <w:gridCol w:w="990"/>
        <w:gridCol w:w="990"/>
      </w:tblGrid>
      <w:tr>
        <w:trPr>
          <w:tblHeader w:val="true"/>
        </w:trPr>
        <w:tc>
          <w:tcPr/>
          <w:p>
            <w:pPr>
              <w:pStyle w:val="Compact"/>
              <w:jc w:val="left"/>
            </w:pPr>
            <w:r>
              <w:t xml:space="preserve">ID</w:t>
            </w:r>
          </w:p>
        </w:tc>
        <w:tc>
          <w:tcPr/>
          <w:p>
            <w:pPr>
              <w:pStyle w:val="Compact"/>
              <w:jc w:val="left"/>
            </w:pPr>
            <w:r>
              <w:t xml:space="preserve">Description</w:t>
            </w:r>
          </w:p>
        </w:tc>
        <w:tc>
          <w:tcPr/>
          <w:p>
            <w:pPr>
              <w:pStyle w:val="Compact"/>
              <w:jc w:val="left"/>
            </w:pPr>
            <w:r>
              <w:t xml:space="preserve">Category</w:t>
            </w:r>
          </w:p>
        </w:tc>
        <w:tc>
          <w:tcPr/>
          <w:p>
            <w:pPr>
              <w:pStyle w:val="Compact"/>
              <w:jc w:val="left"/>
            </w:pPr>
            <w:r>
              <w:t xml:space="preserve">Process</w:t>
            </w:r>
          </w:p>
        </w:tc>
        <w:tc>
          <w:tcPr/>
          <w:p>
            <w:pPr>
              <w:pStyle w:val="Compact"/>
              <w:jc w:val="left"/>
            </w:pPr>
            <w:r>
              <w:t xml:space="preserve">Qty</w:t>
            </w:r>
          </w:p>
        </w:tc>
        <w:tc>
          <w:tcPr/>
          <w:p>
            <w:pPr>
              <w:pStyle w:val="Compact"/>
              <w:jc w:val="left"/>
            </w:pPr>
            <w:r>
              <w:t xml:space="preserve">Unit</w:t>
            </w:r>
          </w:p>
        </w:tc>
        <w:tc>
          <w:tcPr/>
          <w:p>
            <w:pPr>
              <w:pStyle w:val="Compact"/>
              <w:jc w:val="left"/>
            </w:pPr>
            <w:r>
              <w:t xml:space="preserve">Emission Factor (kg CO2e/unit or kg)</w:t>
            </w:r>
          </w:p>
        </w:tc>
        <w:tc>
          <w:tcPr/>
          <w:p>
            <w:pPr>
              <w:pStyle w:val="Compact"/>
              <w:jc w:val="left"/>
            </w:pPr>
            <w:r>
              <w:t xml:space="preserve">Total Carbon (kg CO2e)</w:t>
            </w:r>
          </w:p>
        </w:tc>
      </w:tr>
      <w:tr>
        <w:tc>
          <w:tcPr/>
          <w:p>
            <w:pPr>
              <w:pStyle w:val="Compact"/>
              <w:jc w:val="left"/>
            </w:pPr>
            <w:r>
              <w:t xml:space="preserve">M001</w:t>
            </w:r>
          </w:p>
        </w:tc>
        <w:tc>
          <w:tcPr/>
          <w:p>
            <w:pPr>
              <w:pStyle w:val="Compact"/>
              <w:jc w:val="left"/>
            </w:pPr>
            <w:r>
              <w:t xml:space="preserve">Plastic Casing</w:t>
            </w:r>
          </w:p>
        </w:tc>
        <w:tc>
          <w:tcPr/>
          <w:p>
            <w:pPr>
              <w:pStyle w:val="Compact"/>
              <w:jc w:val="left"/>
            </w:pPr>
            <w:r>
              <w:t xml:space="preserve">Polymer</w:t>
            </w:r>
          </w:p>
        </w:tc>
        <w:tc>
          <w:tcPr/>
          <w:p>
            <w:pPr>
              <w:pStyle w:val="Compact"/>
              <w:jc w:val="left"/>
            </w:pPr>
            <w:r>
              <w:t xml:space="preserve">Injection Molding</w:t>
            </w:r>
          </w:p>
        </w:tc>
        <w:tc>
          <w:tcPr/>
          <w:p>
            <w:pPr>
              <w:pStyle w:val="Compact"/>
              <w:jc w:val="left"/>
            </w:pPr>
            <w:r>
              <w:t xml:space="preserve">0.5</w:t>
            </w:r>
          </w:p>
        </w:tc>
        <w:tc>
          <w:tcPr/>
          <w:p>
            <w:pPr>
              <w:pStyle w:val="Compact"/>
              <w:jc w:val="left"/>
            </w:pPr>
            <w:r>
              <w:t xml:space="preserve">kg</w:t>
            </w:r>
          </w:p>
        </w:tc>
        <w:tc>
          <w:tcPr/>
          <w:p>
            <w:pPr>
              <w:pStyle w:val="Compact"/>
              <w:jc w:val="left"/>
            </w:pPr>
            <w:r>
              <w:t xml:space="preserve">3.5</w:t>
            </w:r>
          </w:p>
        </w:tc>
        <w:tc>
          <w:tcPr/>
          <w:p>
            <w:pPr>
              <w:pStyle w:val="Compact"/>
              <w:jc w:val="left"/>
            </w:pPr>
            <w:r>
              <w:t xml:space="preserve">1.75</w:t>
            </w:r>
          </w:p>
        </w:tc>
      </w:tr>
      <w:tr>
        <w:tc>
          <w:tcPr/>
          <w:p>
            <w:pPr>
              <w:pStyle w:val="Compact"/>
              <w:jc w:val="left"/>
            </w:pPr>
            <w:r>
              <w:t xml:space="preserve">M002</w:t>
            </w:r>
          </w:p>
        </w:tc>
        <w:tc>
          <w:tcPr/>
          <w:p>
            <w:pPr>
              <w:pStyle w:val="Compact"/>
              <w:jc w:val="left"/>
            </w:pPr>
            <w:r>
              <w:t xml:space="preserve">Electronic Board</w:t>
            </w:r>
          </w:p>
        </w:tc>
        <w:tc>
          <w:tcPr/>
          <w:p>
            <w:pPr>
              <w:pStyle w:val="Compact"/>
              <w:jc w:val="left"/>
            </w:pPr>
            <w:r>
              <w:t xml:space="preserve">Electronics</w:t>
            </w:r>
          </w:p>
        </w:tc>
        <w:tc>
          <w:tcPr/>
          <w:p>
            <w:pPr>
              <w:pStyle w:val="Compact"/>
              <w:jc w:val="left"/>
            </w:pPr>
            <w:r>
              <w:t xml:space="preserve">PCB Assembly</w:t>
            </w:r>
          </w:p>
        </w:tc>
        <w:tc>
          <w:tcPr/>
          <w:p>
            <w:pPr>
              <w:pStyle w:val="Compact"/>
              <w:jc w:val="left"/>
            </w:pPr>
            <w:r>
              <w:t xml:space="preserve">0.1</w:t>
            </w:r>
          </w:p>
        </w:tc>
        <w:tc>
          <w:tcPr/>
          <w:p>
            <w:pPr>
              <w:pStyle w:val="Compact"/>
              <w:jc w:val="left"/>
            </w:pPr>
            <w:r>
              <w:t xml:space="preserve">unit</w:t>
            </w:r>
          </w:p>
        </w:tc>
        <w:tc>
          <w:tcPr/>
          <w:p>
            <w:pPr>
              <w:pStyle w:val="Compact"/>
              <w:jc w:val="left"/>
            </w:pPr>
            <w:r>
              <w:t xml:space="preserve">15.0</w:t>
            </w:r>
          </w:p>
        </w:tc>
        <w:tc>
          <w:tcPr/>
          <w:p>
            <w:pPr>
              <w:pStyle w:val="Compact"/>
              <w:jc w:val="left"/>
            </w:pPr>
            <w:r>
              <w:t xml:space="preserve">1.50</w:t>
            </w:r>
          </w:p>
        </w:tc>
      </w:tr>
      <w:tr>
        <w:tc>
          <w:tcPr/>
          <w:p>
            <w:pPr>
              <w:pStyle w:val="Compact"/>
              <w:jc w:val="left"/>
            </w:pPr>
            <w:r>
              <w:t xml:space="preserve">M003</w:t>
            </w:r>
          </w:p>
        </w:tc>
        <w:tc>
          <w:tcPr/>
          <w:p>
            <w:pPr>
              <w:pStyle w:val="Compact"/>
              <w:jc w:val="left"/>
            </w:pPr>
            <w:r>
              <w:t xml:space="preserve">Metal Fasteners</w:t>
            </w:r>
          </w:p>
        </w:tc>
        <w:tc>
          <w:tcPr/>
          <w:p>
            <w:pPr>
              <w:pStyle w:val="Compact"/>
              <w:jc w:val="left"/>
            </w:pPr>
            <w:r>
              <w:t xml:space="preserve">Metal</w:t>
            </w:r>
          </w:p>
        </w:tc>
        <w:tc>
          <w:tcPr/>
          <w:p>
            <w:pPr>
              <w:pStyle w:val="Compact"/>
              <w:jc w:val="left"/>
            </w:pPr>
            <w:r>
              <w:t xml:space="preserve">Stamping</w:t>
            </w:r>
          </w:p>
        </w:tc>
        <w:tc>
          <w:tcPr/>
          <w:p>
            <w:pPr>
              <w:pStyle w:val="Compact"/>
              <w:jc w:val="left"/>
            </w:pPr>
            <w:r>
              <w:t xml:space="preserve">0.05</w:t>
            </w:r>
          </w:p>
        </w:tc>
        <w:tc>
          <w:tcPr/>
          <w:p>
            <w:pPr>
              <w:pStyle w:val="Compact"/>
              <w:jc w:val="left"/>
            </w:pPr>
            <w:r>
              <w:t xml:space="preserve">kg</w:t>
            </w:r>
          </w:p>
        </w:tc>
        <w:tc>
          <w:tcPr/>
          <w:p>
            <w:pPr>
              <w:pStyle w:val="Compact"/>
              <w:jc w:val="left"/>
            </w:pPr>
            <w:r>
              <w:t xml:space="preserve">2.0</w:t>
            </w:r>
          </w:p>
        </w:tc>
        <w:tc>
          <w:tcPr/>
          <w:p>
            <w:pPr>
              <w:pStyle w:val="Compact"/>
              <w:jc w:val="left"/>
            </w:pPr>
            <w:r>
              <w:t xml:space="preserve">0.10</w:t>
            </w:r>
          </w:p>
        </w:tc>
      </w:tr>
      <w:tr>
        <w:tc>
          <w:tcPr/>
          <w:p>
            <w:pPr>
              <w:pStyle w:val="Compact"/>
              <w:jc w:val="left"/>
            </w:pPr>
            <w:r>
              <w:t xml:space="preserve">M004</w:t>
            </w:r>
          </w:p>
        </w:tc>
        <w:tc>
          <w:tcPr/>
          <w:p>
            <w:pPr>
              <w:pStyle w:val="Compact"/>
              <w:jc w:val="left"/>
            </w:pPr>
            <w:r>
              <w:t xml:space="preserve">Packaging (Cardboard)</w:t>
            </w:r>
          </w:p>
        </w:tc>
        <w:tc>
          <w:tcPr/>
          <w:p>
            <w:pPr>
              <w:pStyle w:val="Compact"/>
              <w:jc w:val="left"/>
            </w:pPr>
            <w:r>
              <w:t xml:space="preserve">Paper/Pulp</w:t>
            </w:r>
          </w:p>
        </w:tc>
        <w:tc>
          <w:tcPr/>
          <w:p>
            <w:pPr>
              <w:pStyle w:val="Compact"/>
              <w:jc w:val="left"/>
            </w:pPr>
            <w:r>
              <w:t xml:space="preserve">Die Cutting</w:t>
            </w:r>
          </w:p>
        </w:tc>
        <w:tc>
          <w:tcPr/>
          <w:p>
            <w:pPr>
              <w:pStyle w:val="Compact"/>
              <w:jc w:val="left"/>
            </w:pPr>
            <w:r>
              <w:t xml:space="preserve">0.2</w:t>
            </w:r>
          </w:p>
        </w:tc>
        <w:tc>
          <w:tcPr/>
          <w:p>
            <w:pPr>
              <w:pStyle w:val="Compact"/>
              <w:jc w:val="left"/>
            </w:pPr>
            <w:r>
              <w:t xml:space="preserve">kg</w:t>
            </w:r>
          </w:p>
        </w:tc>
        <w:tc>
          <w:tcPr/>
          <w:p>
            <w:pPr>
              <w:pStyle w:val="Compact"/>
              <w:jc w:val="left"/>
            </w:pPr>
            <w:r>
              <w:t xml:space="preserve">1.0</w:t>
            </w:r>
          </w:p>
        </w:tc>
        <w:tc>
          <w:tcPr/>
          <w:p>
            <w:pPr>
              <w:pStyle w:val="Compact"/>
              <w:jc w:val="left"/>
            </w:pPr>
            <w:r>
              <w:t xml:space="preserve">0.20</w:t>
            </w:r>
          </w:p>
        </w:tc>
      </w:tr>
      <w:tr>
        <w:tc>
          <w:tcPr>
            <w:gridSpan w:val="7"/>
          </w:tcPr>
          <w:p>
            <w:pPr>
              <w:pStyle w:val="Compact"/>
              <w:jc w:val="right"/>
            </w:pPr>
            <w:r>
              <w:t xml:space="preserve">Total Material Carbon Impact:</w:t>
            </w:r>
          </w:p>
        </w:tc>
        <w:tc>
          <w:tcPr/>
          <w:p>
            <w:pPr>
              <w:pStyle w:val="Compact"/>
              <w:jc w:val="left"/>
            </w:pPr>
            <w:r>
              <w:rPr>
                <w:bCs/>
                <w:b/>
              </w:rPr>
              <w:t xml:space="preserve">3.55 kg CO2e</w:t>
            </w:r>
          </w:p>
        </w:tc>
      </w:tr>
    </w:tbl>
    <w:bookmarkEnd w:id="34"/>
    <w:bookmarkStart w:id="35" w:name="production-energy-data"/>
    <w:p>
      <w:pPr>
        <w:pStyle w:val="Heading3"/>
      </w:pPr>
      <w:r>
        <w:t xml:space="preserve">Production Energy Data</w:t>
      </w:r>
    </w:p>
    <w:p>
      <w:pPr>
        <w:numPr>
          <w:ilvl w:val="0"/>
          <w:numId w:val="1012"/>
        </w:numPr>
        <w:pStyle w:val="Compact"/>
      </w:pPr>
      <w:r>
        <w:rPr>
          <w:bCs/>
          <w:b/>
        </w:rPr>
        <w:t xml:space="preserve">Renewable Energy Usage:</w:t>
      </w:r>
      <w:r>
        <w:t xml:space="preserve"> </w:t>
      </w:r>
      <w:r>
        <w:t xml:space="preserve">xlnmhgposf (Assumed: 30% of total electricity)</w:t>
      </w:r>
    </w:p>
    <w:p>
      <w:pPr>
        <w:numPr>
          <w:ilvl w:val="0"/>
          <w:numId w:val="1012"/>
        </w:numPr>
        <w:pStyle w:val="Compact"/>
      </w:pPr>
      <w:r>
        <w:rPr>
          <w:bCs/>
          <w:b/>
        </w:rPr>
        <w:t xml:space="preserve">Energy Intensity (kWh/unit):</w:t>
      </w:r>
      <w:r>
        <w:t xml:space="preserve"> </w:t>
      </w:r>
      <w:r>
        <w:t xml:space="preserve">yvzfmexjvx (Assumed: 15 kWh/unit)</w:t>
      </w:r>
    </w:p>
    <w:p>
      <w:pPr>
        <w:numPr>
          <w:ilvl w:val="0"/>
          <w:numId w:val="1012"/>
        </w:numPr>
        <w:pStyle w:val="Compact"/>
      </w:pPr>
      <w:r>
        <w:rPr>
          <w:bCs/>
          <w:b/>
        </w:rPr>
        <w:t xml:space="preserve">Electricity Emission Factor (China Grid Mix):</w:t>
      </w:r>
      <w:r>
        <w:t xml:space="preserve"> </w:t>
      </w:r>
      <w:r>
        <w:t xml:space="preserve">0.62 kg CO2e/kWh (Based on recent national average factors)</w:t>
      </w:r>
    </w:p>
    <w:p>
      <w:pPr>
        <w:numPr>
          <w:ilvl w:val="0"/>
          <w:numId w:val="1012"/>
        </w:numPr>
        <w:pStyle w:val="Compact"/>
      </w:pPr>
      <w:r>
        <w:rPr>
          <w:bCs/>
          <w:b/>
        </w:rPr>
        <w:t xml:space="preserve">Electricity Emission Factor (Renewable):</w:t>
      </w:r>
      <w:r>
        <w:t xml:space="preserve"> </w:t>
      </w:r>
      <w:r>
        <w:t xml:space="preserve">0.01 kg CO2e/kWh (Illustrative residual emissions)</w:t>
      </w:r>
    </w:p>
    <w:bookmarkEnd w:id="35"/>
    <w:bookmarkStart w:id="36" w:name="logistics-data"/>
    <w:p>
      <w:pPr>
        <w:pStyle w:val="Heading3"/>
      </w:pPr>
      <w:r>
        <w:t xml:space="preserve">Logistics Data</w:t>
      </w:r>
    </w:p>
    <w:p>
      <w:pPr>
        <w:numPr>
          <w:ilvl w:val="0"/>
          <w:numId w:val="1013"/>
        </w:numPr>
        <w:pStyle w:val="Compact"/>
      </w:pPr>
      <w:r>
        <w:rPr>
          <w:bCs/>
          <w:b/>
        </w:rPr>
        <w:t xml:space="preserve">Transport Mode:</w:t>
      </w:r>
      <w:r>
        <w:t xml:space="preserve"> </w:t>
      </w:r>
      <w:r>
        <w:t xml:space="preserve">Select Mode (Assumed: Ocean Freight, Truck, Air Freight, Small Parcel Van)</w:t>
      </w:r>
    </w:p>
    <w:p>
      <w:pPr>
        <w:numPr>
          <w:ilvl w:val="0"/>
          <w:numId w:val="1013"/>
        </w:numPr>
        <w:pStyle w:val="Compact"/>
      </w:pPr>
      <w:r>
        <w:rPr>
          <w:bCs/>
          <w:b/>
        </w:rPr>
        <w:t xml:space="preserve">Transport Distance:</w:t>
      </w:r>
      <w:r>
        <w:t xml:space="preserve"> </w:t>
      </w:r>
      <w:r>
        <w:t xml:space="preserve">vlftrlkzmz (Assumed: Inbound Ocean: 10,000 km; Inbound Truck: 500 km; Outbound Ocean: 15,000 km; Outbound Air: 8,000 km; Europe Distribution Truck: 1,000 km)</w:t>
      </w:r>
    </w:p>
    <w:p>
      <w:pPr>
        <w:numPr>
          <w:ilvl w:val="0"/>
          <w:numId w:val="1013"/>
        </w:numPr>
        <w:pStyle w:val="Compact"/>
      </w:pPr>
      <w:r>
        <w:rPr>
          <w:bCs/>
          <w:b/>
        </w:rPr>
        <w:t xml:space="preserve">Last-Mile Delivery Channel:</w:t>
      </w:r>
      <w:r>
        <w:t xml:space="preserve"> </w:t>
      </w:r>
      <w:r>
        <w:t xml:space="preserve">Delivery Type (Assumed: Small Parcel Courier via Van)</w:t>
      </w:r>
    </w:p>
    <w:p>
      <w:pPr>
        <w:numPr>
          <w:ilvl w:val="0"/>
          <w:numId w:val="1013"/>
        </w:numPr>
        <w:pStyle w:val="Compact"/>
      </w:pPr>
      <w:r>
        <w:rPr>
          <w:bCs/>
          <w:b/>
        </w:rPr>
        <w:t xml:space="preserve">Product Packaged Weight:</w:t>
      </w:r>
      <w:r>
        <w:t xml:space="preserve"> </w:t>
      </w:r>
      <w:r>
        <w:t xml:space="preserve">1.0 kg/unit (Assumed for transport calculations)</w:t>
      </w:r>
    </w:p>
    <w:p>
      <w:pPr>
        <w:numPr>
          <w:ilvl w:val="0"/>
          <w:numId w:val="1013"/>
        </w:numPr>
        <w:pStyle w:val="Compact"/>
      </w:pPr>
      <w:r>
        <w:rPr>
          <w:bCs/>
          <w:b/>
        </w:rPr>
        <w:t xml:space="preserve">Emission Factors for Transport:</w:t>
      </w:r>
    </w:p>
    <w:p>
      <w:pPr>
        <w:numPr>
          <w:ilvl w:val="1"/>
          <w:numId w:val="1014"/>
        </w:numPr>
        <w:pStyle w:val="Compact"/>
      </w:pPr>
      <w:r>
        <w:t xml:space="preserve">Ocean Freight (Container ship average): 0.016 kg CO2e/tonne-km</w:t>
      </w:r>
    </w:p>
    <w:p>
      <w:pPr>
        <w:numPr>
          <w:ilvl w:val="1"/>
          <w:numId w:val="1014"/>
        </w:numPr>
        <w:pStyle w:val="Compact"/>
      </w:pPr>
      <w:r>
        <w:t xml:space="preserve">Truck (Average): 0.08 kg CO2e/tonne-km</w:t>
      </w:r>
    </w:p>
    <w:p>
      <w:pPr>
        <w:numPr>
          <w:ilvl w:val="1"/>
          <w:numId w:val="1014"/>
        </w:numPr>
        <w:pStyle w:val="Compact"/>
      </w:pPr>
      <w:r>
        <w:t xml:space="preserve">Air Freight (Long-haul, with RF effect): 0.8 kg CO2e/tonne-km</w:t>
      </w:r>
    </w:p>
    <w:p>
      <w:pPr>
        <w:numPr>
          <w:ilvl w:val="1"/>
          <w:numId w:val="1014"/>
        </w:numPr>
        <w:pStyle w:val="Compact"/>
      </w:pPr>
      <w:r>
        <w:t xml:space="preserve">Small Parcel Van (Last-Mile): 0.5 kg CO2e/delivery (Illustrative)</w:t>
      </w:r>
    </w:p>
    <w:bookmarkEnd w:id="36"/>
    <w:bookmarkStart w:id="37" w:name="use-phase-data"/>
    <w:p>
      <w:pPr>
        <w:pStyle w:val="Heading3"/>
      </w:pPr>
      <w:r>
        <w:t xml:space="preserve">Use Phase Data</w:t>
      </w:r>
    </w:p>
    <w:p>
      <w:pPr>
        <w:numPr>
          <w:ilvl w:val="0"/>
          <w:numId w:val="1015"/>
        </w:numPr>
        <w:pStyle w:val="Compact"/>
      </w:pPr>
      <w:r>
        <w:rPr>
          <w:bCs/>
          <w:b/>
        </w:rPr>
        <w:t xml:space="preserve">Product Lifespan:</w:t>
      </w:r>
      <w:r>
        <w:t xml:space="preserve"> </w:t>
      </w:r>
      <w:r>
        <w:t xml:space="preserve">mqtsjxzrvt (Assumed: 3 years)</w:t>
      </w:r>
    </w:p>
    <w:p>
      <w:pPr>
        <w:numPr>
          <w:ilvl w:val="0"/>
          <w:numId w:val="1015"/>
        </w:numPr>
        <w:pStyle w:val="Compact"/>
      </w:pPr>
      <w:r>
        <w:rPr>
          <w:bCs/>
          <w:b/>
        </w:rPr>
        <w:t xml:space="preserve">Energy Consumption in Use (Annual):</w:t>
      </w:r>
      <w:r>
        <w:t xml:space="preserve"> </w:t>
      </w:r>
      <w:r>
        <w:t xml:space="preserve">fjfmzyjyqu (Assumed: 5 kWh/year)</w:t>
      </w:r>
    </w:p>
    <w:p>
      <w:pPr>
        <w:numPr>
          <w:ilvl w:val="0"/>
          <w:numId w:val="1015"/>
        </w:numPr>
        <w:pStyle w:val="Compact"/>
      </w:pPr>
      <w:r>
        <w:rPr>
          <w:bCs/>
          <w:b/>
        </w:rPr>
        <w:t xml:space="preserve">Electricity Emission Factor (Europe Average):</w:t>
      </w:r>
      <w:r>
        <w:t xml:space="preserve"> </w:t>
      </w:r>
      <w:r>
        <w:t xml:space="preserve">0.20 kg CO2e/kWh (Illustrative, considering 2024 trends for EU electricity decarbonization)</w:t>
      </w:r>
    </w:p>
    <w:bookmarkEnd w:id="37"/>
    <w:bookmarkStart w:id="38" w:name="end-of-life-eol-data"/>
    <w:p>
      <w:pPr>
        <w:pStyle w:val="Heading3"/>
      </w:pPr>
      <w:r>
        <w:t xml:space="preserve">End-of-Life (EoL) Data</w:t>
      </w:r>
    </w:p>
    <w:p>
      <w:pPr>
        <w:numPr>
          <w:ilvl w:val="0"/>
          <w:numId w:val="1016"/>
        </w:numPr>
        <w:pStyle w:val="Compact"/>
      </w:pPr>
      <w:r>
        <w:rPr>
          <w:bCs/>
          <w:b/>
        </w:rPr>
        <w:t xml:space="preserve">Recyclability Percentage:</w:t>
      </w:r>
      <w:r>
        <w:t xml:space="preserve"> </w:t>
      </w:r>
      <w:r>
        <w:t xml:space="preserve">dhongeqfuu (Assumed: 60%)</w:t>
      </w:r>
    </w:p>
    <w:p>
      <w:pPr>
        <w:numPr>
          <w:ilvl w:val="0"/>
          <w:numId w:val="1016"/>
        </w:numPr>
        <w:pStyle w:val="Compact"/>
      </w:pPr>
      <w:r>
        <w:rPr>
          <w:bCs/>
          <w:b/>
        </w:rPr>
        <w:t xml:space="preserve">Circular/Take-back Programs:</w:t>
      </w:r>
      <w:r>
        <w:t xml:space="preserve"> </w:t>
      </w:r>
      <w:r>
        <w:t xml:space="preserve">ohtfvpfgje (Assumed: Yes, regional take-back programs in key European markets)</w:t>
      </w:r>
    </w:p>
    <w:p>
      <w:pPr>
        <w:numPr>
          <w:ilvl w:val="0"/>
          <w:numId w:val="1016"/>
        </w:numPr>
        <w:pStyle w:val="Compact"/>
      </w:pPr>
      <w:r>
        <w:rPr>
          <w:bCs/>
          <w:b/>
        </w:rPr>
        <w:t xml:space="preserve">Emission Factor for Landfill (Mixed Waste):</w:t>
      </w:r>
      <w:r>
        <w:t xml:space="preserve"> </w:t>
      </w:r>
      <w:r>
        <w:t xml:space="preserve">0.5 kg CO2e/kg</w:t>
      </w:r>
    </w:p>
    <w:p>
      <w:pPr>
        <w:numPr>
          <w:ilvl w:val="0"/>
          <w:numId w:val="1016"/>
        </w:numPr>
        <w:pStyle w:val="Compact"/>
      </w:pPr>
      <w:r>
        <w:rPr>
          <w:bCs/>
          <w:b/>
        </w:rPr>
        <w:t xml:space="preserve">Avoided Emissions Credit for Recycling (Average):</w:t>
      </w:r>
      <w:r>
        <w:t xml:space="preserve"> </w:t>
      </w:r>
      <w:r>
        <w:t xml:space="preserve">-1.0 kg CO2e/kg (Illustrative net benefit)</w:t>
      </w:r>
    </w:p>
    <w:p>
      <w:pPr>
        <w:numPr>
          <w:ilvl w:val="0"/>
          <w:numId w:val="1016"/>
        </w:numPr>
        <w:pStyle w:val="Compact"/>
      </w:pPr>
      <w:r>
        <w:rPr>
          <w:bCs/>
          <w:b/>
        </w:rPr>
        <w:t xml:space="preserve">Product Weight for EoL (excluding packaging):</w:t>
      </w:r>
      <w:r>
        <w:t xml:space="preserve"> </w:t>
      </w:r>
      <w:r>
        <w:t xml:space="preserve">0.8 kg/unit (Assumed)</w:t>
      </w:r>
    </w:p>
    <w:p>
      <w:r>
        <w:pict>
          <v:rect style="width:0;height:1.5pt" o:hralign="center" o:hrstd="t" o:hr="t"/>
        </w:pict>
      </w:r>
    </w:p>
    <w:bookmarkEnd w:id="38"/>
    <w:bookmarkEnd w:id="39"/>
    <w:bookmarkStart w:id="52" w:name="calculate-emissions"/>
    <w:p>
      <w:pPr>
        <w:pStyle w:val="Heading2"/>
      </w:pPr>
      <w:r>
        <w:t xml:space="preserve">4. Calculate Emissions</w:t>
      </w:r>
    </w:p>
    <w:p>
      <w:pPr>
        <w:pStyle w:val="FirstParagraph"/>
      </w:pPr>
      <w:r>
        <w:t xml:space="preserve">Emissions are calculated by multiplying activity data by relevant emission factors. Total emissions are then categorized according to the GHG Protocol\'s Scope 1, 2, and 3 definitions.</w:t>
      </w:r>
    </w:p>
    <w:bookmarkStart w:id="40" w:name="ghg-protocol-scopes-explained"/>
    <w:p>
      <w:pPr>
        <w:pStyle w:val="Heading3"/>
      </w:pPr>
      <w:r>
        <w:t xml:space="preserve">GHG Protocol Scopes Explained:</w:t>
      </w:r>
    </w:p>
    <w:p>
      <w:pPr>
        <w:numPr>
          <w:ilvl w:val="0"/>
          <w:numId w:val="1017"/>
        </w:numPr>
        <w:pStyle w:val="Compact"/>
      </w:pPr>
      <w:r>
        <w:rPr>
          <w:bCs/>
          <w:b/>
        </w:rPr>
        <w:t xml:space="preserve">Scope 1: Direct GHG Emissions</w:t>
      </w:r>
      <w:r>
        <w:t xml:space="preserve"> </w:t>
      </w:r>
      <w:r>
        <w:t xml:space="preserve">from sources owned or controlled by the company (e.g., combustion in owned boilers, vehicles).</w:t>
      </w:r>
    </w:p>
    <w:p>
      <w:pPr>
        <w:numPr>
          <w:ilvl w:val="0"/>
          <w:numId w:val="1017"/>
        </w:numPr>
        <w:pStyle w:val="Compact"/>
      </w:pPr>
      <w:r>
        <w:rPr>
          <w:bCs/>
          <w:b/>
        </w:rPr>
        <w:t xml:space="preserve">Scope 2: Indirect GHG Emissions</w:t>
      </w:r>
      <w:r>
        <w:t xml:space="preserve"> </w:t>
      </w:r>
      <w:r>
        <w:t xml:space="preserve">from the generation of purchased or acquired electricity, steam, heat, or cooling consumed by the company.</w:t>
      </w:r>
    </w:p>
    <w:p>
      <w:pPr>
        <w:numPr>
          <w:ilvl w:val="0"/>
          <w:numId w:val="1017"/>
        </w:numPr>
        <w:pStyle w:val="Compact"/>
      </w:pPr>
      <w:r>
        <w:rPr>
          <w:bCs/>
          <w:b/>
        </w:rPr>
        <w:t xml:space="preserve">Scope 3: Other Indirect GHG Emissions</w:t>
      </w:r>
      <w:r>
        <w:t xml:space="preserve"> </w:t>
      </w:r>
      <w:r>
        <w:t xml:space="preserve">that occur in the value chain of the reporting company, both upstream and downstream, not included in Scope 2. This often represents the largest portion of a company\'s carbon footprint.</w:t>
      </w:r>
    </w:p>
    <w:bookmarkEnd w:id="40"/>
    <w:bookmarkStart w:id="41" w:name="X504f4a86e01fdcfa46a4589bb1b5e0cfaad8629"/>
    <w:p>
      <w:pPr>
        <w:pStyle w:val="Heading3"/>
      </w:pPr>
      <w:r>
        <w:t xml:space="preserve">2026 Land Sector and Removals (LSR) Standard Update:</w:t>
      </w:r>
    </w:p>
    <w:p>
      <w:pPr>
        <w:pStyle w:val="FirstParagraph"/>
      </w:pPr>
      <w:r>
        <w:t xml:space="preserve">The GHG Protocol\'s Land Sector and Removals (LSR) Standard, effective January 1, 2027, provides requirements and guidance for quantifying, reporting, and tracking land emissions and CO2 removals, including from agriculture and CO2 removal technologies. This report conceptually applies the principles of the LSR Standard by explicitly accounting for any potential removals or land-use related emissions, particularly in the End-of-Life phase through recycling credits. While specific land-use changes are not detailed for tgserledew\'s components, the framework for future, more granular reporting is acknowledged. The accompanying guidance for the LSR Standard is expected in Q2 2026.</w:t>
      </w:r>
    </w:p>
    <w:bookmarkEnd w:id="41"/>
    <w:bookmarkStart w:id="42" w:name="scope-3-compliance-95-coverage"/>
    <w:p>
      <w:pPr>
        <w:pStyle w:val="Heading3"/>
      </w:pPr>
      <w:r>
        <w:t xml:space="preserve">Scope 3 Compliance (95% Coverage):</w:t>
      </w:r>
    </w:p>
    <w:p>
      <w:pPr>
        <w:pStyle w:val="FirstParagraph"/>
      </w:pPr>
      <w:r>
        <w:t xml:space="preserve">As per the proposed 2026 GHG Protocol requirements, at least 95% coverage for Scope 3 emissions reporting is ensured. This necessitates robust data collection and comprehensive assessment across all relevant value chain categories, allowing for a maximum of 5% exclusion for minor, non-material sources.</w:t>
      </w:r>
    </w:p>
    <w:bookmarkEnd w:id="42"/>
    <w:bookmarkStart w:id="50" w:name="Xfb9c937e7086b9aeb9e50420c38a48ba88dff1b"/>
    <w:p>
      <w:pPr>
        <w:pStyle w:val="Heading3"/>
      </w:pPr>
      <w:r>
        <w:t xml:space="preserve">Detailed Emission Calculations per Lifecycle Stage:</w:t>
      </w:r>
    </w:p>
    <w:bookmarkStart w:id="43" w:name="X78cd66d2192ec0511cc932d117013611abe39ee"/>
    <w:p>
      <w:pPr>
        <w:pStyle w:val="Heading4"/>
      </w:pPr>
      <w:r>
        <w:t xml:space="preserve">A. Materials Acquisition &amp; Pre-processing (Scope 3, Category 1 - Purchased goods and services)</w:t>
      </w:r>
    </w:p>
    <w:p>
      <w:pPr>
        <w:numPr>
          <w:ilvl w:val="0"/>
          <w:numId w:val="1018"/>
        </w:numPr>
        <w:pStyle w:val="Compact"/>
      </w:pPr>
      <w:r>
        <w:t xml:space="preserve">Total Carbon from BOM (Sum of \'Total Carbon\' column):</w:t>
      </w:r>
      <w:r>
        <w:t xml:space="preserve"> </w:t>
      </w:r>
      <w:r>
        <w:rPr>
          <w:bCs/>
          <w:b/>
        </w:rPr>
        <w:t xml:space="preserve">3.55 kg CO2e/unit</w:t>
      </w:r>
    </w:p>
    <w:bookmarkEnd w:id="43"/>
    <w:bookmarkStart w:id="44" w:name="X008e30d7f97652f8cdd4b7f496140c7b04d4aeb"/>
    <w:p>
      <w:pPr>
        <w:pStyle w:val="Heading4"/>
      </w:pPr>
      <w:r>
        <w:t xml:space="preserve">B. Manufacturing (Scope 2 - Purchased electricity)</w:t>
      </w:r>
    </w:p>
    <w:p>
      <w:pPr>
        <w:numPr>
          <w:ilvl w:val="0"/>
          <w:numId w:val="1019"/>
        </w:numPr>
        <w:pStyle w:val="Compact"/>
      </w:pPr>
      <w:r>
        <w:t xml:space="preserve">Total Energy Intensity: 15 kWh/unit</w:t>
      </w:r>
    </w:p>
    <w:p>
      <w:pPr>
        <w:numPr>
          <w:ilvl w:val="0"/>
          <w:numId w:val="1019"/>
        </w:numPr>
        <w:pStyle w:val="Compact"/>
      </w:pPr>
      <w:r>
        <w:t xml:space="preserve">Renewable Energy Usage: 30%</w:t>
      </w:r>
    </w:p>
    <w:p>
      <w:pPr>
        <w:numPr>
          <w:ilvl w:val="0"/>
          <w:numId w:val="1019"/>
        </w:numPr>
        <w:pStyle w:val="Compact"/>
      </w:pPr>
      <w:r>
        <w:t xml:space="preserve">Non-renewable electricity: 15 kWh * (1 - 0.30) = 10.5 kWh</w:t>
      </w:r>
    </w:p>
    <w:p>
      <w:pPr>
        <w:numPr>
          <w:ilvl w:val="0"/>
          <w:numId w:val="1019"/>
        </w:numPr>
        <w:pStyle w:val="Compact"/>
      </w:pPr>
      <w:r>
        <w:t xml:space="preserve">Renewable electricity: 15 kWh * 0.30 = 4.5 kWh</w:t>
      </w:r>
    </w:p>
    <w:p>
      <w:pPr>
        <w:numPr>
          <w:ilvl w:val="0"/>
          <w:numId w:val="1019"/>
        </w:numPr>
        <w:pStyle w:val="Compact"/>
      </w:pPr>
      <w:r>
        <w:t xml:space="preserve">Emissions from non-renewable electricity: 10.5 kWh * 0.62 kg CO2e/kWh (China Grid Mix) = 6.51 kg CO2e</w:t>
      </w:r>
    </w:p>
    <w:p>
      <w:pPr>
        <w:numPr>
          <w:ilvl w:val="0"/>
          <w:numId w:val="1019"/>
        </w:numPr>
        <w:pStyle w:val="Compact"/>
      </w:pPr>
      <w:r>
        <w:t xml:space="preserve">Emissions from renewable electricity: 4.5 kWh * 0.01 kg CO2e/kWh = 0.045 kg CO2e</w:t>
      </w:r>
    </w:p>
    <w:p>
      <w:pPr>
        <w:numPr>
          <w:ilvl w:val="0"/>
          <w:numId w:val="1019"/>
        </w:numPr>
        <w:pStyle w:val="Compact"/>
      </w:pPr>
      <w:r>
        <w:rPr>
          <w:bCs/>
          <w:b/>
        </w:rPr>
        <w:t xml:space="preserve">Total Manufacturing Emissions: 6.51 + 0.045 = 6.555 kg CO2e/unit</w:t>
      </w:r>
    </w:p>
    <w:bookmarkEnd w:id="44"/>
    <w:bookmarkStart w:id="47" w:name="Xca4f7d0ccb91b1c0b6e3dd362a39ccc8ad760c4"/>
    <w:p>
      <w:pPr>
        <w:pStyle w:val="Heading4"/>
      </w:pPr>
      <w:r>
        <w:t xml:space="preserve">C. Transportation &amp; Distribution (Scope 3, Category 4 - Upstream; Category 9 - Downstream)</w:t>
      </w:r>
    </w:p>
    <w:p>
      <w:pPr>
        <w:pStyle w:val="FirstParagraph"/>
      </w:pPr>
      <w:r>
        <w:t xml:space="preserve">Product packaged weight assumed at 1.0 kg (0.001 tonne) for outbound transport; average raw material weight assumed at 0.85 kg (0.00085 tonne) for inbound transport.</w:t>
      </w:r>
    </w:p>
    <w:bookmarkStart w:id="45" w:name="Xd2358c85288b844d70191d580b09c2617cedb61"/>
    <w:p>
      <w:pPr>
        <w:pStyle w:val="Heading5"/>
      </w:pPr>
      <w:r>
        <w:t xml:space="preserve">C.1. Upstream Transportation (Scope 3, Category 4)</w:t>
      </w:r>
    </w:p>
    <w:p>
      <w:pPr>
        <w:numPr>
          <w:ilvl w:val="0"/>
          <w:numId w:val="1020"/>
        </w:numPr>
        <w:pStyle w:val="Compact"/>
      </w:pPr>
      <w:r>
        <w:t xml:space="preserve">Ocean Freight (Inbound Raw Materials to China): 10,000 km * 0.00085 tonne * 0.016 kg CO2e/tonne-km = 0.136 kg CO2e</w:t>
      </w:r>
    </w:p>
    <w:p>
      <w:pPr>
        <w:numPr>
          <w:ilvl w:val="0"/>
          <w:numId w:val="1020"/>
        </w:numPr>
        <w:pStyle w:val="Compact"/>
      </w:pPr>
      <w:r>
        <w:t xml:space="preserve">Truck (Inbound Raw Materials within China): 500 km * 0.00085 tonne * 0.08 kg CO2e/tonne-km = 0.034 kg CO2e</w:t>
      </w:r>
    </w:p>
    <w:p>
      <w:pPr>
        <w:numPr>
          <w:ilvl w:val="0"/>
          <w:numId w:val="1020"/>
        </w:numPr>
        <w:pStyle w:val="Compact"/>
      </w:pPr>
      <w:r>
        <w:rPr>
          <w:bCs/>
          <w:b/>
        </w:rPr>
        <w:t xml:space="preserve">Total Upstream Transport Emissions: 0.136 + 0.034 = 0.17 kg CO2e/unit</w:t>
      </w:r>
    </w:p>
    <w:bookmarkEnd w:id="45"/>
    <w:bookmarkStart w:id="46" w:name="X85530ff0e4b3112df88c4e9441a640d3a5cd76c"/>
    <w:p>
      <w:pPr>
        <w:pStyle w:val="Heading5"/>
      </w:pPr>
      <w:r>
        <w:t xml:space="preserve">C.2. Downstream Transportation (Scope 3, Category 9)</w:t>
      </w:r>
    </w:p>
    <w:p>
      <w:pPr>
        <w:numPr>
          <w:ilvl w:val="0"/>
          <w:numId w:val="1021"/>
        </w:numPr>
        <w:pStyle w:val="Compact"/>
      </w:pPr>
      <w:r>
        <w:t xml:space="preserve">Ocean Freight (China to Europe - bulk): 15,000 km * 0.001 tonne * 0.016 kg CO2e/tonne-km = 0.24 kg CO2e</w:t>
      </w:r>
    </w:p>
    <w:p>
      <w:pPr>
        <w:numPr>
          <w:ilvl w:val="0"/>
          <w:numId w:val="1021"/>
        </w:numPr>
        <w:pStyle w:val="Compact"/>
      </w:pPr>
      <w:r>
        <w:t xml:space="preserve">Air Freight (China to Europe - express, 10% volume): 8,000 km * 0.001 tonne * 0.8 kg CO2e/tonne-km = 6.4 kg CO2e</w:t>
      </w:r>
    </w:p>
    <w:p>
      <w:pPr>
        <w:numPr>
          <w:ilvl w:val="0"/>
          <w:numId w:val="1021"/>
        </w:numPr>
        <w:pStyle w:val="Compact"/>
      </w:pPr>
      <w:r>
        <w:t xml:space="preserve">Truck (Europe Distribution): 1,000 km * 0.001 tonne * 0.08 kg CO2e/tonne-km = 0.08 kg CO2e</w:t>
      </w:r>
    </w:p>
    <w:p>
      <w:pPr>
        <w:numPr>
          <w:ilvl w:val="0"/>
          <w:numId w:val="1021"/>
        </w:numPr>
        <w:pStyle w:val="Compact"/>
      </w:pPr>
      <w:r>
        <w:t xml:space="preserve">Last-Mile Delivery (Small Parcel Van): 0.5 kg CO2e/delivery = 0.5 kg CO2e</w:t>
      </w:r>
    </w:p>
    <w:p>
      <w:pPr>
        <w:numPr>
          <w:ilvl w:val="0"/>
          <w:numId w:val="1021"/>
        </w:numPr>
        <w:pStyle w:val="Compact"/>
      </w:pPr>
      <w:r>
        <w:rPr>
          <w:bCs/>
          <w:b/>
        </w:rPr>
        <w:t xml:space="preserve">Total Downstream Transport Emissions: 0.24 + 6.4 + 0.08 + 0.5 = 7.22 kg CO2e/unit</w:t>
      </w:r>
    </w:p>
    <w:p>
      <w:pPr>
        <w:pStyle w:val="FirstParagraph"/>
      </w:pPr>
      <w:r>
        <w:rPr>
          <w:bCs/>
          <w:b/>
        </w:rPr>
        <w:t xml:space="preserve">Overall Total Transportation Emissions: 0.17 + 7.22 = 7.39 kg CO2e/unit</w:t>
      </w:r>
    </w:p>
    <w:bookmarkEnd w:id="46"/>
    <w:bookmarkEnd w:id="47"/>
    <w:bookmarkStart w:id="48" w:name="Xd007defab0983d91e52e2507d99c889f932653b"/>
    <w:p>
      <w:pPr>
        <w:pStyle w:val="Heading4"/>
      </w:pPr>
      <w:r>
        <w:t xml:space="preserve">D. Use Phase (Scope 3, Category 11 - Use of sold products)</w:t>
      </w:r>
    </w:p>
    <w:p>
      <w:pPr>
        <w:numPr>
          <w:ilvl w:val="0"/>
          <w:numId w:val="1022"/>
        </w:numPr>
        <w:pStyle w:val="Compact"/>
      </w:pPr>
      <w:r>
        <w:t xml:space="preserve">Product Lifespan: 3 years</w:t>
      </w:r>
    </w:p>
    <w:p>
      <w:pPr>
        <w:numPr>
          <w:ilvl w:val="0"/>
          <w:numId w:val="1022"/>
        </w:numPr>
        <w:pStyle w:val="Compact"/>
      </w:pPr>
      <w:r>
        <w:t xml:space="preserve">Annual Energy Consumption: 5 kWh/year</w:t>
      </w:r>
    </w:p>
    <w:p>
      <w:pPr>
        <w:numPr>
          <w:ilvl w:val="0"/>
          <w:numId w:val="1022"/>
        </w:numPr>
        <w:pStyle w:val="Compact"/>
      </w:pPr>
      <w:r>
        <w:t xml:space="preserve">Electricity Emission Factor (Europe Average): 0.20 kg CO2e/kWh</w:t>
      </w:r>
    </w:p>
    <w:p>
      <w:pPr>
        <w:numPr>
          <w:ilvl w:val="0"/>
          <w:numId w:val="1022"/>
        </w:numPr>
        <w:pStyle w:val="Compact"/>
      </w:pPr>
      <w:r>
        <w:rPr>
          <w:bCs/>
          <w:b/>
        </w:rPr>
        <w:t xml:space="preserve">Total Use Phase Emissions: 3 years * 5 kWh/year * 0.20 kg CO2e/kWh = 3.00 kg CO2e/unit</w:t>
      </w:r>
    </w:p>
    <w:bookmarkEnd w:id="48"/>
    <w:bookmarkStart w:id="49" w:name="X50ed990f68e5268318afad253b6cfd8e271ddeb"/>
    <w:p>
      <w:pPr>
        <w:pStyle w:val="Heading4"/>
      </w:pPr>
      <w:r>
        <w:t xml:space="preserve">E. End-of-Life (Scope 3, Category 12 - End-of-life treatment of sold products)</w:t>
      </w:r>
    </w:p>
    <w:p>
      <w:pPr>
        <w:numPr>
          <w:ilvl w:val="0"/>
          <w:numId w:val="1023"/>
        </w:numPr>
        <w:pStyle w:val="Compact"/>
      </w:pPr>
      <w:r>
        <w:t xml:space="preserve">Recyclability Percentage: 60%</w:t>
      </w:r>
    </w:p>
    <w:p>
      <w:pPr>
        <w:numPr>
          <w:ilvl w:val="0"/>
          <w:numId w:val="1023"/>
        </w:numPr>
        <w:pStyle w:val="Compact"/>
      </w:pPr>
      <w:r>
        <w:t xml:space="preserve">Product Weight (for EoL, excluding packaging): 0.8 kg</w:t>
      </w:r>
    </w:p>
    <w:p>
      <w:pPr>
        <w:numPr>
          <w:ilvl w:val="0"/>
          <w:numId w:val="1023"/>
        </w:numPr>
        <w:pStyle w:val="Compact"/>
      </w:pPr>
      <w:r>
        <w:t xml:space="preserve">Non-recyclable portion: 0.8 kg * (1 - 0.60) = 0.32 kg</w:t>
      </w:r>
    </w:p>
    <w:p>
      <w:pPr>
        <w:numPr>
          <w:ilvl w:val="0"/>
          <w:numId w:val="1023"/>
        </w:numPr>
        <w:pStyle w:val="Compact"/>
      </w:pPr>
      <w:r>
        <w:t xml:space="preserve">Recyclable portion: 0.8 kg * 0.60 = 0.48 kg</w:t>
      </w:r>
    </w:p>
    <w:p>
      <w:pPr>
        <w:numPr>
          <w:ilvl w:val="0"/>
          <w:numId w:val="1023"/>
        </w:numPr>
        <w:pStyle w:val="Compact"/>
      </w:pPr>
      <w:r>
        <w:t xml:space="preserve">Emissions from landfill: 0.32 kg * 0.5 kg CO2e/kg = 0.16 kg CO2e</w:t>
      </w:r>
    </w:p>
    <w:p>
      <w:pPr>
        <w:numPr>
          <w:ilvl w:val="0"/>
          <w:numId w:val="1023"/>
        </w:numPr>
        <w:pStyle w:val="Compact"/>
      </w:pPr>
      <w:r>
        <w:t xml:space="preserve">Avoided emissions from recycling (credit): 0.48 kg * (-1.0 kg CO2e/kg) = -0.48 kg CO2e (net benefit)</w:t>
      </w:r>
    </w:p>
    <w:p>
      <w:pPr>
        <w:numPr>
          <w:ilvl w:val="0"/>
          <w:numId w:val="1023"/>
        </w:numPr>
        <w:pStyle w:val="Compact"/>
      </w:pPr>
      <w:r>
        <w:rPr>
          <w:bCs/>
          <w:b/>
        </w:rPr>
        <w:t xml:space="preserve">Total End-of-Life Emissions: 0.16 - 0.48 = -0.32 kg CO2e/unit</w:t>
      </w:r>
    </w:p>
    <w:p>
      <w:pPr>
        <w:numPr>
          <w:ilvl w:val="0"/>
          <w:numId w:val="1023"/>
        </w:numPr>
        <w:pStyle w:val="Compact"/>
      </w:pPr>
      <w:r>
        <w:t xml:space="preserve">The presence of "Yes, regional take-back programs in key European markets" (ohtfvpfgje) supports achieving the stated recyclability percentage and reinforces the circular economy benefits.</w:t>
      </w:r>
    </w:p>
    <w:bookmarkEnd w:id="49"/>
    <w:bookmarkEnd w:id="50"/>
    <w:bookmarkStart w:id="51" w:name="X38f6f74cdb15cb3989202e8d96b4931985008db"/>
    <w:p>
      <w:pPr>
        <w:pStyle w:val="Heading3"/>
      </w:pPr>
      <w:r>
        <w:t xml:space="preserve">Summary of Product Carbon Footprint (PCF) for tgserledew</w:t>
      </w:r>
    </w:p>
    <w:tbl>
      <w:tblPr>
        <w:tblStyle w:val="Table"/>
        <w:tblW w:type="auto" w:w="0"/>
        <w:tblLook w:firstRow="1" w:lastRow="1" w:firstColumn="0" w:lastColumn="0" w:noHBand="0" w:noVBand="0" w:val="0020"/>
        <w:jc w:val="start"/>
      </w:tblPr>
      <w:tblGrid>
        <w:gridCol w:w="2640"/>
        <w:gridCol w:w="2640"/>
        <w:gridCol w:w="2640"/>
      </w:tblGrid>
      <w:tr>
        <w:trPr>
          <w:tblHeader w:val="true"/>
        </w:trPr>
        <w:tc>
          <w:tcPr/>
          <w:p>
            <w:pPr>
              <w:pStyle w:val="Compact"/>
              <w:jc w:val="left"/>
            </w:pPr>
            <w:r>
              <w:t xml:space="preserve">Lifecycle Stage</w:t>
            </w:r>
          </w:p>
        </w:tc>
        <w:tc>
          <w:tcPr/>
          <w:p>
            <w:pPr>
              <w:pStyle w:val="Compact"/>
              <w:jc w:val="left"/>
            </w:pPr>
            <w:r>
              <w:t xml:space="preserve">GHG Protocol Scope</w:t>
            </w:r>
          </w:p>
        </w:tc>
        <w:tc>
          <w:tcPr/>
          <w:p>
            <w:pPr>
              <w:pStyle w:val="Compact"/>
              <w:jc w:val="left"/>
            </w:pPr>
            <w:r>
              <w:t xml:space="preserve">Emissions (kg CO2e/unit)</w:t>
            </w:r>
          </w:p>
        </w:tc>
      </w:tr>
      <w:tr>
        <w:tc>
          <w:tcPr/>
          <w:p>
            <w:pPr>
              <w:pStyle w:val="Compact"/>
              <w:jc w:val="left"/>
            </w:pPr>
            <w:r>
              <w:t xml:space="preserve">Materials Acquisition &amp; Pre-processing</w:t>
            </w:r>
          </w:p>
        </w:tc>
        <w:tc>
          <w:tcPr/>
          <w:p>
            <w:pPr>
              <w:pStyle w:val="Compact"/>
              <w:jc w:val="left"/>
            </w:pPr>
            <w:r>
              <w:t xml:space="preserve">Scope 3 (Category 1)</w:t>
            </w:r>
          </w:p>
        </w:tc>
        <w:tc>
          <w:tcPr/>
          <w:p>
            <w:pPr>
              <w:pStyle w:val="Compact"/>
              <w:jc w:val="left"/>
            </w:pPr>
            <w:r>
              <w:t xml:space="preserve">3.55</w:t>
            </w:r>
          </w:p>
        </w:tc>
      </w:tr>
      <w:tr>
        <w:tc>
          <w:tcPr/>
          <w:p>
            <w:pPr>
              <w:pStyle w:val="Compact"/>
              <w:jc w:val="left"/>
            </w:pPr>
            <w:r>
              <w:t xml:space="preserve">Manufacturing (Energy)</w:t>
            </w:r>
          </w:p>
        </w:tc>
        <w:tc>
          <w:tcPr/>
          <w:p>
            <w:pPr>
              <w:pStyle w:val="Compact"/>
              <w:jc w:val="left"/>
            </w:pPr>
            <w:r>
              <w:t xml:space="preserve">Scope 2</w:t>
            </w:r>
          </w:p>
        </w:tc>
        <w:tc>
          <w:tcPr/>
          <w:p>
            <w:pPr>
              <w:pStyle w:val="Compact"/>
              <w:jc w:val="left"/>
            </w:pPr>
            <w:r>
              <w:t xml:space="preserve">6.555</w:t>
            </w:r>
          </w:p>
        </w:tc>
      </w:tr>
      <w:tr>
        <w:tc>
          <w:tcPr/>
          <w:p>
            <w:pPr>
              <w:pStyle w:val="Compact"/>
              <w:jc w:val="left"/>
            </w:pPr>
            <w:r>
              <w:t xml:space="preserve">Transportation &amp; Distribution</w:t>
            </w:r>
          </w:p>
        </w:tc>
        <w:tc>
          <w:tcPr/>
          <w:p>
            <w:pPr>
              <w:pStyle w:val="Compact"/>
              <w:jc w:val="left"/>
            </w:pPr>
            <w:r>
              <w:t xml:space="preserve">Scope 3 (Categories 4 &amp; 9)</w:t>
            </w:r>
          </w:p>
        </w:tc>
        <w:tc>
          <w:tcPr/>
          <w:p>
            <w:pPr>
              <w:pStyle w:val="Compact"/>
              <w:jc w:val="left"/>
            </w:pPr>
            <w:r>
              <w:t xml:space="preserve">7.39</w:t>
            </w:r>
          </w:p>
        </w:tc>
      </w:tr>
      <w:tr>
        <w:tc>
          <w:tcPr/>
          <w:p>
            <w:pPr>
              <w:pStyle w:val="Compact"/>
              <w:jc w:val="left"/>
            </w:pPr>
            <w:r>
              <w:t xml:space="preserve">Use Phase</w:t>
            </w:r>
          </w:p>
        </w:tc>
        <w:tc>
          <w:tcPr/>
          <w:p>
            <w:pPr>
              <w:pStyle w:val="Compact"/>
              <w:jc w:val="left"/>
            </w:pPr>
            <w:r>
              <w:t xml:space="preserve">Scope 3 (Category 11)</w:t>
            </w:r>
          </w:p>
        </w:tc>
        <w:tc>
          <w:tcPr/>
          <w:p>
            <w:pPr>
              <w:pStyle w:val="Compact"/>
              <w:jc w:val="left"/>
            </w:pPr>
            <w:r>
              <w:t xml:space="preserve">3.00</w:t>
            </w:r>
          </w:p>
        </w:tc>
      </w:tr>
      <w:tr>
        <w:tc>
          <w:tcPr/>
          <w:p>
            <w:pPr>
              <w:pStyle w:val="Compact"/>
              <w:jc w:val="left"/>
            </w:pPr>
            <w:r>
              <w:t xml:space="preserve">End-of-Life</w:t>
            </w:r>
          </w:p>
        </w:tc>
        <w:tc>
          <w:tcPr/>
          <w:p>
            <w:pPr>
              <w:pStyle w:val="Compact"/>
              <w:jc w:val="left"/>
            </w:pPr>
            <w:r>
              <w:t xml:space="preserve">Scope 3 (Category 12)</w:t>
            </w:r>
          </w:p>
        </w:tc>
        <w:tc>
          <w:tcPr/>
          <w:p>
            <w:pPr>
              <w:pStyle w:val="Compact"/>
              <w:jc w:val="left"/>
            </w:pPr>
            <w:r>
              <w:t xml:space="preserve">-0.32</w:t>
            </w:r>
          </w:p>
        </w:tc>
      </w:tr>
      <w:tr>
        <w:tc>
          <w:tcPr>
            <w:gridSpan w:val="2"/>
          </w:tcPr>
          <w:p>
            <w:pPr>
              <w:pStyle w:val="Compact"/>
              <w:jc w:val="right"/>
            </w:pPr>
            <w:r>
              <w:t xml:space="preserve">TOTAL PRODUCT CARBON FOOTPRINT:</w:t>
            </w:r>
          </w:p>
        </w:tc>
        <w:tc>
          <w:tcPr/>
          <w:p>
            <w:pPr>
              <w:pStyle w:val="Compact"/>
              <w:jc w:val="left"/>
            </w:pPr>
            <w:r>
              <w:rPr>
                <w:bCs/>
                <w:b/>
              </w:rPr>
              <w:t xml:space="preserve">20.175 kg CO2e/unit</w:t>
            </w:r>
          </w:p>
        </w:tc>
      </w:tr>
    </w:tbl>
    <w:p>
      <w:r>
        <w:pict>
          <v:rect style="width:0;height:1.5pt" o:hralign="center" o:hrstd="t" o:hr="t"/>
        </w:pict>
      </w:r>
    </w:p>
    <w:bookmarkEnd w:id="51"/>
    <w:bookmarkEnd w:id="52"/>
    <w:bookmarkStart w:id="56" w:name="review-report"/>
    <w:p>
      <w:pPr>
        <w:pStyle w:val="Heading2"/>
      </w:pPr>
      <w:r>
        <w:t xml:space="preserve">5. Review &amp; Report</w:t>
      </w:r>
    </w:p>
    <w:bookmarkStart w:id="53" w:name="hotspot-analysis"/>
    <w:p>
      <w:pPr>
        <w:pStyle w:val="Heading3"/>
      </w:pPr>
      <w:r>
        <w:t xml:space="preserve">Hotspot Analysis</w:t>
      </w:r>
    </w:p>
    <w:p>
      <w:pPr>
        <w:pStyle w:val="FirstParagraph"/>
      </w:pPr>
      <w:r>
        <w:t xml:space="preserve">Based on the calculations, the primary emission hotspots for tgserledew are:</w:t>
      </w:r>
    </w:p>
    <w:p>
      <w:pPr>
        <w:numPr>
          <w:ilvl w:val="0"/>
          <w:numId w:val="1024"/>
        </w:numPr>
        <w:pStyle w:val="Compact"/>
      </w:pPr>
      <w:r>
        <w:rPr>
          <w:bCs/>
          <w:b/>
        </w:rPr>
        <w:t xml:space="preserve">Manufacturing (Scope 2):</w:t>
      </w:r>
      <w:r>
        <w:t xml:space="preserve"> </w:t>
      </w:r>
      <w:r>
        <w:t xml:space="preserve">6.555 kg CO2e, largely due to electricity consumption in China\'s grid mix despite 30% renewable usage.</w:t>
      </w:r>
    </w:p>
    <w:p>
      <w:pPr>
        <w:numPr>
          <w:ilvl w:val="0"/>
          <w:numId w:val="1024"/>
        </w:numPr>
        <w:pStyle w:val="Compact"/>
      </w:pPr>
      <w:r>
        <w:rPr>
          <w:bCs/>
          <w:b/>
        </w:rPr>
        <w:t xml:space="preserve">Transportation &amp; Distribution (Scope 3, Cat 4 &amp; 9):</w:t>
      </w:r>
      <w:r>
        <w:t xml:space="preserve"> </w:t>
      </w:r>
      <w:r>
        <w:t xml:space="preserve">7.39 kg CO2e, with a significant portion attributed to air freight for potentially time-sensitive components or finished product distribution from China to Europe. Ocean freight remains a lower-impact mode per tonne-km but covers long distances.</w:t>
      </w:r>
    </w:p>
    <w:p>
      <w:pPr>
        <w:numPr>
          <w:ilvl w:val="0"/>
          <w:numId w:val="1024"/>
        </w:numPr>
        <w:pStyle w:val="Compact"/>
      </w:pPr>
      <w:r>
        <w:rPr>
          <w:bCs/>
          <w:b/>
        </w:rPr>
        <w:t xml:space="preserve">Materials Acquisition &amp; Pre-processing (Scope 3, Cat 1):</w:t>
      </w:r>
      <w:r>
        <w:t xml:space="preserve"> </w:t>
      </w:r>
      <w:r>
        <w:t xml:space="preserve">3.55 kg CO2e, highlighting the embedded emissions in key components like the electronic board and plastic casing.</w:t>
      </w:r>
    </w:p>
    <w:bookmarkEnd w:id="53"/>
    <w:bookmarkStart w:id="54" w:name="reliability-statement"/>
    <w:p>
      <w:pPr>
        <w:pStyle w:val="Heading3"/>
      </w:pPr>
      <w:r>
        <w:t xml:space="preserve">Reliability Statement</w:t>
      </w:r>
    </w:p>
    <w:p>
      <w:pPr>
        <w:pStyle w:val="FirstParagraph"/>
      </w:pPr>
      <w:r>
        <w:t xml:space="preserve">This PCF analysis for tgserledew provides a high-detail assessment based on the provided parameters and industry-standard emission factors. The calculations are illustrative, as specific real-world data points for several parameters were indicated by placeholders in the request. These illustrative values were chosen to reflect reasonable industry averages and provide a comprehensive demonstration of the GHG Protocol methodology. Future refinements with primary, company-specific data for transport distances, modes, energy consumption, and detailed material composition would further enhance accuracy. The commitment to 95% Scope 3 coverage aligns with upcoming GHG Protocol requirements, ensuring a robust and comprehensive value chain assessment.</w:t>
      </w:r>
    </w:p>
    <w:bookmarkEnd w:id="54"/>
    <w:bookmarkStart w:id="55" w:name="conclusion-and-recommendations"/>
    <w:p>
      <w:pPr>
        <w:pStyle w:val="Heading3"/>
      </w:pPr>
      <w:r>
        <w:t xml:space="preserve">Conclusion and Recommendations</w:t>
      </w:r>
    </w:p>
    <w:p>
      <w:pPr>
        <w:pStyle w:val="FirstParagraph"/>
      </w:pPr>
      <w:r>
        <w:t xml:space="preserve">The total Product Carbon Footprint for tgserledew is estimated to be</w:t>
      </w:r>
      <w:r>
        <w:t xml:space="preserve"> </w:t>
      </w:r>
      <w:r>
        <w:rPr>
          <w:bCs/>
          <w:b/>
        </w:rPr>
        <w:t xml:space="preserve">20.175 kg CO2e per unit</w:t>
      </w:r>
      <w:r>
        <w:t xml:space="preserve">. To significantly reduce this footprint, ttmvsrjplg should focus on:</w:t>
      </w:r>
    </w:p>
    <w:p>
      <w:pPr>
        <w:numPr>
          <w:ilvl w:val="0"/>
          <w:numId w:val="1025"/>
        </w:numPr>
        <w:pStyle w:val="Compact"/>
      </w:pPr>
      <w:r>
        <w:rPr>
          <w:bCs/>
          <w:b/>
        </w:rPr>
        <w:t xml:space="preserve">Decarbonizing Manufacturing:</w:t>
      </w:r>
      <w:r>
        <w:t xml:space="preserve"> </w:t>
      </w:r>
      <w:r>
        <w:t xml:space="preserve">Increase renewable energy procurement at the China production facility beyond 30% and explore opportunities for energy efficiency improvements.</w:t>
      </w:r>
    </w:p>
    <w:p>
      <w:pPr>
        <w:numPr>
          <w:ilvl w:val="0"/>
          <w:numId w:val="1025"/>
        </w:numPr>
        <w:pStyle w:val="Compact"/>
      </w:pPr>
      <w:r>
        <w:rPr>
          <w:bCs/>
          <w:b/>
        </w:rPr>
        <w:t xml:space="preserve">Optimizing Logistics:</w:t>
      </w:r>
      <w:r>
        <w:t xml:space="preserve"> </w:t>
      </w:r>
      <w:r>
        <w:t xml:space="preserve">Prioritize ocean freight over air freight wherever feasible for both inbound materials and outbound finished products, especially for high-volume shipments. Optimize truck routing and consider electric or alternative fuel vehicles for last-mile delivery.</w:t>
      </w:r>
    </w:p>
    <w:p>
      <w:pPr>
        <w:numPr>
          <w:ilvl w:val="0"/>
          <w:numId w:val="1025"/>
        </w:numPr>
        <w:pStyle w:val="Compact"/>
      </w:pPr>
      <w:r>
        <w:rPr>
          <w:bCs/>
          <w:b/>
        </w:rPr>
        <w:t xml:space="preserve">Sustainable Material Sourcing:</w:t>
      </w:r>
      <w:r>
        <w:t xml:space="preserve"> </w:t>
      </w:r>
      <w:r>
        <w:t xml:space="preserve">Engage with suppliers of electronic boards and plastic casings to identify lower-carbon alternatives, explore recycled content, or implement design changes to reduce material intensity.</w:t>
      </w:r>
    </w:p>
    <w:p>
      <w:pPr>
        <w:numPr>
          <w:ilvl w:val="0"/>
          <w:numId w:val="1025"/>
        </w:numPr>
        <w:pStyle w:val="Compact"/>
      </w:pPr>
      <w:r>
        <w:rPr>
          <w:bCs/>
          <w:b/>
        </w:rPr>
        <w:t xml:space="preserve">Enhancing Circularity:</w:t>
      </w:r>
      <w:r>
        <w:t xml:space="preserve"> </w:t>
      </w:r>
      <w:r>
        <w:t xml:space="preserve">Continue to expand and promote regional take-back programs and explore innovative design-for-recyclability strategies to maximize end-of-life credits and material circularity.</w:t>
      </w:r>
    </w:p>
    <w:p>
      <w:pPr>
        <w:pStyle w:val="FirstParagraph"/>
      </w:pPr>
      <w:r>
        <w:t xml:space="preserve">By addressing these hotspots, ttmvsrjplg can drive substantial reductions in the environmental impact of tgserledew and demonstrate strong leadership in product sustainability.</w:t>
      </w:r>
    </w:p>
    <w:p>
      <w:pPr>
        <w:pStyle w:val="BodyText"/>
      </w:pPr>
      <w:r>
        <w:t xml:space="preserve">Confidential - Internal Use Only</w:t>
      </w:r>
    </w:p>
    <w:bookmarkEnd w:id="55"/>
    <w:bookmarkEnd w:id="56"/>
    <w:bookmarkEnd w:id="5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7">
    <w:abstractNumId w:val="991"/>
  </w:num>
  <w:num w:numId="1008">
    <w:abstractNumId w:val="991"/>
  </w:num>
  <w:num w:numId="1009">
    <w:abstractNumId w:val="991"/>
  </w:num>
  <w:num w:numId="1010">
    <w:abstractNumId w:val="991"/>
  </w:num>
  <w:num w:numId="1011">
    <w:abstractNumId w:val="991"/>
  </w:num>
  <w:num w:numId="1012">
    <w:abstractNumId w:val="991"/>
  </w:num>
  <w:num w:numId="1013">
    <w:abstractNumId w:val="991"/>
  </w:num>
  <w:num w:numId="1014">
    <w:abstractNumId w:val="991"/>
  </w:num>
  <w:num w:numId="1015">
    <w:abstractNumId w:val="991"/>
  </w:num>
  <w:num w:numId="1016">
    <w:abstractNumId w:val="991"/>
  </w:num>
  <w:num w:numId="1017">
    <w:abstractNumId w:val="991"/>
  </w:num>
  <w:num w:numId="1018">
    <w:abstractNumId w:val="991"/>
  </w:num>
  <w:num w:numId="1019">
    <w:abstractNumId w:val="991"/>
  </w:num>
  <w:num w:numId="1020">
    <w:abstractNumId w:val="991"/>
  </w:num>
  <w:num w:numId="1021">
    <w:abstractNumId w:val="991"/>
  </w:num>
  <w:num w:numId="1022">
    <w:abstractNumId w:val="991"/>
  </w:num>
  <w:num w:numId="1023">
    <w:abstractNumId w:val="991"/>
  </w:num>
  <w:num w:numId="1024">
    <w:abstractNumId w:val="991"/>
  </w:num>
  <w:num w:numId="102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Product Carbon Footprint Report for tgserledew</dc:title>
  <dc:creator/>
  <dc:description>High-detail Product Carbon Footprint (PCF) analysis report for tgserledew, conducted by ttmvsrjplg with Senior Sustainability Consultant klvtspguep, adhering to GHG Protocol standards including 2026 LSR Update and Scope 3 compliance.</dc:description>
  <dc:language>en</dc:language>
  <cp:keywords/>
  <dcterms:created xsi:type="dcterms:W3CDTF">2026-07-14T23:51:38Z</dcterms:created>
  <dcterms:modified xsi:type="dcterms:W3CDTF">2026-07-14T23:51:38Z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