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tfnsundqer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tfnsundqer</w:t>
      </w:r>
    </w:p>
    <w:p>
      <w:pPr>
        <w:pStyle w:val="BodyText"/>
      </w:pPr>
      <w:r>
        <w:rPr>
          <w:bCs/>
          <w:b/>
        </w:rPr>
        <w:t xml:space="preserve">Company Name:</w:t>
      </w:r>
      <w:r>
        <w:t xml:space="preserve"> </w:t>
      </w:r>
      <w:r>
        <w:t xml:space="preserve">ovqgeukqpv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jihtgtydzm</w:t>
      </w:r>
    </w:p>
    <w:p>
      <w:pPr>
        <w:pStyle w:val="BodyText"/>
      </w:pPr>
      <w:r>
        <w:t xml:space="preserve">This report is generated based on available data and industry standards. While efforts have been made to ensure accuracy, the actual environmental impact may vary depending on specific operational details and evolving data.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\'tfnsundqer\', manufactured by ovqgeukqpv, conducted by jihtgtydzm, Senior Sustainability Consultant. The analysis adheres to the GHG Protocol and incorporates the 2026 Land Sector and Removals (LSR) Standard for land use and carbon removals. The primary objective is to quantify the greenhouse gas emissions across the product\'s lifecycle from a \'factory_gate\' system boundary, identifying key emission hotspots and ensuring comprehensive Scope 3 reporting.</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tfnsundqer followed a five-step lifecycle assessment approach, aligned with the principles of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document all relevant processes and stages within the product\'s lifecycle, creating a comprehensive Life Cycle Inventory (LCI).</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waste generation across all lifecycle stages.</w:t>
      </w:r>
    </w:p>
    <w:p>
      <w:pPr>
        <w:numPr>
          <w:ilvl w:val="0"/>
          <w:numId w:val="1001"/>
        </w:numPr>
        <w:pStyle w:val="Compact"/>
      </w:pPr>
      <w:r>
        <w:rPr>
          <w:bCs/>
          <w:b/>
        </w:rPr>
        <w:t xml:space="preserve">Calculate Emissions:</w:t>
      </w:r>
      <w:r>
        <w:t xml:space="preserve"> </w:t>
      </w:r>
      <w:r>
        <w:t xml:space="preserve">Quantify greenhouse gas emissions by multiplying activity data by appropriate emission factors, categorized into Scope 1, 2, and 3.</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transparent and actionable report.</w:t>
      </w:r>
    </w:p>
    <w:p>
      <w:pPr>
        <w:pStyle w:val="FirstParagraph"/>
      </w:pPr>
      <w:r>
        <w:t xml:space="preserve">This analysis specifically incorporates the requirements of the 2026 Land Sector and Removals (LSR) Standard for land use and carbon removals, ensuring a holistic view of the product\'s environmental impact. Furthermore, a rigorous approach to Scope 3 emissions has been applied, aiming for at least 95% coverage as per 2026 requirements to capture significant value chain impacts.</w:t>
      </w:r>
    </w:p>
    <w:p>
      <w:r>
        <w:pict>
          <v:rect style="width:0;height:1.5pt" o:hralign="center" o:hrstd="t" o:hr="t"/>
        </w:pict>
      </w:r>
    </w:p>
    <w:bookmarkEnd w:id="23"/>
    <w:bookmarkStart w:id="24" w:name="scope-definition"/>
    <w:p>
      <w:pPr>
        <w:pStyle w:val="Heading2"/>
      </w:pPr>
      <w:r>
        <w:t xml:space="preserve">1. Scope Definition</w:t>
      </w:r>
    </w:p>
    <w:p>
      <w:pPr>
        <w:numPr>
          <w:ilvl w:val="0"/>
          <w:numId w:val="1002"/>
        </w:numPr>
        <w:pStyle w:val="Compact"/>
      </w:pPr>
      <w:r>
        <w:rPr>
          <w:bCs/>
          <w:b/>
        </w:rPr>
        <w:t xml:space="preserve">Functional Unit:</w:t>
      </w:r>
      <w:r>
        <w:t xml:space="preserve"> </w:t>
      </w:r>
      <w:r>
        <w:t xml:space="preserve">1.0 unit of tfnsundqer. This represents the defined service or utility provided by the product, allowing for comparative analysis.</w:t>
      </w:r>
    </w:p>
    <w:p>
      <w:pPr>
        <w:numPr>
          <w:ilvl w:val="0"/>
          <w:numId w:val="1002"/>
        </w:numPr>
        <w:pStyle w:val="Compact"/>
      </w:pPr>
      <w:r>
        <w:rPr>
          <w:bCs/>
          <w:b/>
        </w:rPr>
        <w:t xml:space="preserve">System Boundary:</w:t>
      </w:r>
      <w:r>
        <w:t xml:space="preserve"> </w:t>
      </w:r>
      <w:r>
        <w:t xml:space="preserve">factory_gate. This boundary encompasses all emissions from raw material extraction, processing, and manufacturing up to the point the product leaves the factory gate, including direct manufacturing emissions. Emissions from product distribution, use, and end-of-life are also included in the full lifecycle analysis but are categorized beyond the \'factory_gate\' direct scope for organizational reporting.</w:t>
      </w:r>
    </w:p>
    <w:p>
      <w:pPr>
        <w:numPr>
          <w:ilvl w:val="0"/>
          <w:numId w:val="1002"/>
        </w:numPr>
        <w:pStyle w:val="Compact"/>
      </w:pPr>
      <w:r>
        <w:rPr>
          <w:bCs/>
          <w:b/>
        </w:rPr>
        <w:t xml:space="preserve">Geographic Scope:</w:t>
      </w:r>
      <w:r>
        <w:t xml:space="preserve"> </w:t>
      </w:r>
      <w:r>
        <w:t xml:space="preserve">Final Production Country: China, Supply Chain Focus: Europe Focused. This specifies the geographical context for production and the primary focus for supply chain data collection.</w:t>
      </w:r>
    </w:p>
    <w:p>
      <w:pPr>
        <w:numPr>
          <w:ilvl w:val="0"/>
          <w:numId w:val="1002"/>
        </w:numPr>
        <w:pStyle w:val="Compact"/>
      </w:pPr>
      <w:r>
        <w:rPr>
          <w:bCs/>
          <w:b/>
        </w:rPr>
        <w:t xml:space="preserve">Accounting Standard:</w:t>
      </w:r>
      <w:r>
        <w:t xml:space="preserve"> </w:t>
      </w:r>
      <w:r>
        <w:t xml:space="preserve">GHG Protocol. This report strictly adheres to the GHG Protocol Product Standard for carbon footprinting, ensuring consistency and comparability of results.</w:t>
      </w:r>
    </w:p>
    <w:p>
      <w:pPr>
        <w:numPr>
          <w:ilvl w:val="0"/>
          <w:numId w:val="1002"/>
        </w:numPr>
        <w:pStyle w:val="Compact"/>
      </w:pPr>
      <w:r>
        <w:rPr>
          <w:bCs/>
          <w:b/>
        </w:rPr>
        <w:t xml:space="preserve">Allocation:</w:t>
      </w:r>
      <w:r>
        <w:t xml:space="preserve"> </w:t>
      </w:r>
      <w:r>
        <w:t xml:space="preserve">Emissions are allocated directly to the functional unit where possible. For shared processes, recognized allocation methods (e.g., mass, economic value) are applied proportionally to the product.</w:t>
      </w:r>
    </w:p>
    <w:p>
      <w:r>
        <w:pict>
          <v:rect style="width:0;height:1.5pt" o:hralign="center" o:hrstd="t" o:hr="t"/>
        </w:pict>
      </w:r>
    </w:p>
    <w:bookmarkEnd w:id="24"/>
    <w:bookmarkStart w:id="30" w:name="X231e6f1c7dd74a5769179b5fe1ebfd2401ba76c"/>
    <w:p>
      <w:pPr>
        <w:pStyle w:val="Heading2"/>
      </w:pPr>
      <w:r>
        <w:t xml:space="preserve">2. Lifecycle Mapping &amp; 3. Data Collection (Detailed Breakdown)</w:t>
      </w:r>
    </w:p>
    <w:p>
      <w:pPr>
        <w:pStyle w:val="FirstParagraph"/>
      </w:pPr>
      <w:r>
        <w:t xml:space="preserve">The lifecycle of tfnsundqer has been mapped into several key stages, and data has been collected accordingly. Where specific data was provided, it has been used directly. For general parameters or where data was illustrative, industry-standard emission factors from sources such as Ecoinvent and DEFRA have been applied. Product weight is assumed to be approximately 1 kg based on the sum of BOM quantities for illustrative transport and EoL calculations.</w:t>
      </w:r>
    </w:p>
    <w:bookmarkStart w:id="25" w:name="Xa124a95b981c370289279a4b723120ad8e79cc2"/>
    <w:p>
      <w:pPr>
        <w:pStyle w:val="Heading3"/>
      </w:pPr>
      <w:r>
        <w:t xml:space="preserve">2.1. Materials Acquisition &amp; Pre-processing (Scope 3 - Upstream)</w:t>
      </w:r>
    </w:p>
    <w:p>
      <w:pPr>
        <w:pStyle w:val="FirstParagraph"/>
      </w:pPr>
      <w:r>
        <w:t xml:space="preserve">The following Bill of Materials (BOM) for tfnsundqer has been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7.5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 kgCO2e/unit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0.1</w:t>
            </w:r>
          </w:p>
        </w:tc>
      </w:tr>
      <w:tr>
        <w:tc>
          <w:tcPr>
            <w:gridSpan w:val="7"/>
          </w:tcPr>
          <w:p>
            <w:pPr>
              <w:pStyle w:val="Compact"/>
              <w:jc w:val="right"/>
            </w:pPr>
            <w:r>
              <w:rPr>
                <w:bCs/>
                <w:b/>
              </w:rPr>
              <w:t xml:space="preserve">Total Material Carbon:</w:t>
            </w:r>
          </w:p>
        </w:tc>
        <w:tc>
          <w:tcPr/>
          <w:p>
            <w:pPr>
              <w:pStyle w:val="Compact"/>
              <w:jc w:val="left"/>
            </w:pPr>
            <w:r>
              <w:rPr>
                <w:bCs/>
                <w:b/>
              </w:rPr>
              <w:t xml:space="preserve">10.7 kg CO2e</w:t>
            </w:r>
          </w:p>
        </w:tc>
      </w:tr>
    </w:tbl>
    <w:bookmarkEnd w:id="25"/>
    <w:bookmarkStart w:id="26" w:name="production-phase-manufacturing"/>
    <w:p>
      <w:pPr>
        <w:pStyle w:val="Heading3"/>
      </w:pPr>
      <w:r>
        <w:t xml:space="preserve">2.2. Production Phase (Manufacturing)</w:t>
      </w:r>
    </w:p>
    <w:p>
      <w:pPr>
        <w:numPr>
          <w:ilvl w:val="0"/>
          <w:numId w:val="1003"/>
        </w:numPr>
        <w:pStyle w:val="Compact"/>
      </w:pPr>
      <w:r>
        <w:rPr>
          <w:bCs/>
          <w:b/>
        </w:rPr>
        <w:t xml:space="preserve">Energy Intensity (kWh/unit):</w:t>
      </w:r>
      <w:r>
        <w:t xml:space="preserve"> </w:t>
      </w:r>
      <w:r>
        <w:t xml:space="preserve">sreqimfeeg (5 kWh/unit).</w:t>
      </w:r>
    </w:p>
    <w:p>
      <w:pPr>
        <w:numPr>
          <w:ilvl w:val="0"/>
          <w:numId w:val="1003"/>
        </w:numPr>
        <w:pStyle w:val="Compact"/>
      </w:pPr>
      <w:r>
        <w:rPr>
          <w:bCs/>
          <w:b/>
        </w:rPr>
        <w:t xml:space="preserve">Renewable Energy Usage:</w:t>
      </w:r>
      <w:r>
        <w:t xml:space="preserve"> </w:t>
      </w:r>
      <w:r>
        <w:t xml:space="preserve">qedkortxoj (70%).</w:t>
      </w:r>
    </w:p>
    <w:p>
      <w:pPr>
        <w:numPr>
          <w:ilvl w:val="0"/>
          <w:numId w:val="1003"/>
        </w:numPr>
        <w:pStyle w:val="Compact"/>
      </w:pPr>
      <w:r>
        <w:rPr>
          <w:bCs/>
          <w:b/>
        </w:rPr>
        <w:t xml:space="preserve">Non-renewable Energy:</w:t>
      </w:r>
      <w:r>
        <w:t xml:space="preserve"> </w:t>
      </w:r>
      <w:r>
        <w:t xml:space="preserve">(100% - 70%) = 30%.</w:t>
      </w:r>
    </w:p>
    <w:p>
      <w:pPr>
        <w:numPr>
          <w:ilvl w:val="0"/>
          <w:numId w:val="1003"/>
        </w:numPr>
        <w:pStyle w:val="Compact"/>
      </w:pPr>
      <w:r>
        <w:rPr>
          <w:bCs/>
          <w:b/>
        </w:rPr>
        <w:t xml:space="preserve">Geographic Location:</w:t>
      </w:r>
      <w:r>
        <w:t xml:space="preserve"> </w:t>
      </w:r>
      <w:r>
        <w:t xml:space="preserve">China.</w:t>
      </w:r>
    </w:p>
    <w:bookmarkEnd w:id="26"/>
    <w:bookmarkStart w:id="27" w:name="Xddae46afd2821d36c838f450100b803edeafc4b"/>
    <w:p>
      <w:pPr>
        <w:pStyle w:val="Heading3"/>
      </w:pPr>
      <w:r>
        <w:t xml:space="preserve">2.3. Transport &amp; Distribution (Scope 3 - Downstream/Upstream)</w:t>
      </w:r>
    </w:p>
    <w:p>
      <w:pPr>
        <w:numPr>
          <w:ilvl w:val="0"/>
          <w:numId w:val="1004"/>
        </w:numPr>
        <w:pStyle w:val="Compact"/>
      </w:pPr>
      <w:r>
        <w:rPr>
          <w:bCs/>
          <w:b/>
        </w:rPr>
        <w:t xml:space="preserve">Main Transport Mode:</w:t>
      </w:r>
      <w:r>
        <w:t xml:space="preserve"> </w:t>
      </w:r>
      <w:r>
        <w:t xml:space="preserve">Select Mode (Ocean Freight - Container Ship).</w:t>
      </w:r>
    </w:p>
    <w:p>
      <w:pPr>
        <w:numPr>
          <w:ilvl w:val="0"/>
          <w:numId w:val="1004"/>
        </w:numPr>
        <w:pStyle w:val="Compact"/>
      </w:pPr>
      <w:r>
        <w:rPr>
          <w:bCs/>
          <w:b/>
        </w:rPr>
        <w:t xml:space="preserve">Main Transport Distance:</w:t>
      </w:r>
      <w:r>
        <w:t xml:space="preserve"> </w:t>
      </w:r>
      <w:r>
        <w:t xml:space="preserve">wmqlqesrhe (12,000 km).</w:t>
      </w:r>
    </w:p>
    <w:p>
      <w:pPr>
        <w:numPr>
          <w:ilvl w:val="0"/>
          <w:numId w:val="1004"/>
        </w:numPr>
        <w:pStyle w:val="Compact"/>
      </w:pPr>
      <w:r>
        <w:rPr>
          <w:bCs/>
          <w:b/>
        </w:rPr>
        <w:t xml:space="preserve">Last-Mile Delivery Channel:</w:t>
      </w:r>
      <w:r>
        <w:t xml:space="preserve"> </w:t>
      </w:r>
      <w:r>
        <w:t xml:space="preserve">Delivery Type (Road Freight - Parcel Delivery Service).</w:t>
      </w:r>
    </w:p>
    <w:p>
      <w:pPr>
        <w:numPr>
          <w:ilvl w:val="0"/>
          <w:numId w:val="1004"/>
        </w:numPr>
        <w:pStyle w:val="Compact"/>
      </w:pPr>
      <w:r>
        <w:rPr>
          <w:bCs/>
          <w:b/>
        </w:rPr>
        <w:t xml:space="preserve">Last-Mile Distance:</w:t>
      </w:r>
      <w:r>
        <w:t xml:space="preserve"> </w:t>
      </w:r>
      <w:r>
        <w:t xml:space="preserve">wmqlqesrhe (500 km).</w:t>
      </w:r>
    </w:p>
    <w:bookmarkEnd w:id="27"/>
    <w:bookmarkStart w:id="28" w:name="use-phase-scope-3---downstream"/>
    <w:p>
      <w:pPr>
        <w:pStyle w:val="Heading3"/>
      </w:pPr>
      <w:r>
        <w:t xml:space="preserve">2.4. Use Phase (Scope 3 - Downstream)</w:t>
      </w:r>
    </w:p>
    <w:p>
      <w:pPr>
        <w:numPr>
          <w:ilvl w:val="0"/>
          <w:numId w:val="1005"/>
        </w:numPr>
        <w:pStyle w:val="Compact"/>
      </w:pPr>
      <w:r>
        <w:rPr>
          <w:bCs/>
          <w:b/>
        </w:rPr>
        <w:t xml:space="preserve">Product Lifespan:</w:t>
      </w:r>
      <w:r>
        <w:t xml:space="preserve"> </w:t>
      </w:r>
      <w:r>
        <w:t xml:space="preserve">koyrkktlnp (5 years).</w:t>
      </w:r>
    </w:p>
    <w:p>
      <w:pPr>
        <w:numPr>
          <w:ilvl w:val="0"/>
          <w:numId w:val="1005"/>
        </w:numPr>
        <w:pStyle w:val="Compact"/>
      </w:pPr>
      <w:r>
        <w:rPr>
          <w:bCs/>
          <w:b/>
        </w:rPr>
        <w:t xml:space="preserve">Energy Consumption in Use (per year):</w:t>
      </w:r>
      <w:r>
        <w:t xml:space="preserve"> </w:t>
      </w:r>
      <w:r>
        <w:t xml:space="preserve">gmnrdyfitm (10 kWh/year).</w:t>
      </w:r>
    </w:p>
    <w:p>
      <w:pPr>
        <w:numPr>
          <w:ilvl w:val="0"/>
          <w:numId w:val="1005"/>
        </w:numPr>
        <w:pStyle w:val="Compact"/>
      </w:pPr>
      <w:r>
        <w:rPr>
          <w:bCs/>
          <w:b/>
        </w:rPr>
        <w:t xml:space="preserve">Total Energy Consumption in Use:</w:t>
      </w:r>
      <w:r>
        <w:t xml:space="preserve"> </w:t>
      </w:r>
      <w:r>
        <w:t xml:space="preserve">5 years * 10 kWh/year = 50 kWh.</w:t>
      </w:r>
    </w:p>
    <w:bookmarkEnd w:id="28"/>
    <w:bookmarkStart w:id="29" w:name="end-of-life-scope-3---downstream"/>
    <w:p>
      <w:pPr>
        <w:pStyle w:val="Heading3"/>
      </w:pPr>
      <w:r>
        <w:t xml:space="preserve">2.5. End-of-Life (Scope 3 - Downstream)</w:t>
      </w:r>
    </w:p>
    <w:p>
      <w:pPr>
        <w:numPr>
          <w:ilvl w:val="0"/>
          <w:numId w:val="1006"/>
        </w:numPr>
        <w:pStyle w:val="Compact"/>
      </w:pPr>
      <w:r>
        <w:rPr>
          <w:bCs/>
          <w:b/>
        </w:rPr>
        <w:t xml:space="preserve">Recyclability Percentage:</w:t>
      </w:r>
      <w:r>
        <w:t xml:space="preserve"> </w:t>
      </w:r>
      <w:r>
        <w:t xml:space="preserve">qmxgvywzeg (80%).</w:t>
      </w:r>
    </w:p>
    <w:p>
      <w:pPr>
        <w:numPr>
          <w:ilvl w:val="0"/>
          <w:numId w:val="1006"/>
        </w:numPr>
        <w:pStyle w:val="Compact"/>
      </w:pPr>
      <w:r>
        <w:rPr>
          <w:bCs/>
          <w:b/>
        </w:rPr>
        <w:t xml:space="preserve">Circular/Take-back Programs:</w:t>
      </w:r>
      <w:r>
        <w:t xml:space="preserve"> </w:t>
      </w:r>
      <w:r>
        <w:t xml:space="preserve">iytsysdrgx (Established take-back program for electronics components).</w:t>
      </w:r>
    </w:p>
    <w:p>
      <w:pPr>
        <w:numPr>
          <w:ilvl w:val="0"/>
          <w:numId w:val="1006"/>
        </w:numPr>
        <w:pStyle w:val="Compact"/>
      </w:pPr>
      <w:r>
        <w:rPr>
          <w:bCs/>
          <w:b/>
        </w:rPr>
        <w:t xml:space="preserve">Non-recycled portion:</w:t>
      </w:r>
      <w:r>
        <w:t xml:space="preserve"> </w:t>
      </w:r>
      <w:r>
        <w:t xml:space="preserve">(100% - 80%) = 20%.</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(indirect emissions from purchased energy), and Scope 3 (all other indirect emissions in the value chain). The 2026 Land Sector and Removals (LSR) Standard is applied for relevant land use and carbon removals, though specific removal data is not provided in the parameters for this product.</w:t>
      </w:r>
    </w:p>
    <w:bookmarkStart w:id="31" w:name="X2170f5d5cab1eb6b18fb077c6dcbc58eea81789"/>
    <w:p>
      <w:pPr>
        <w:pStyle w:val="Heading3"/>
      </w:pPr>
      <w:r>
        <w:t xml:space="preserve">4.1. Scope 1, 2, &amp; 3 Categorization and Compliance</w:t>
      </w:r>
    </w:p>
    <w:p>
      <w:pPr>
        <w:numPr>
          <w:ilvl w:val="0"/>
          <w:numId w:val="1007"/>
        </w:numPr>
        <w:pStyle w:val="Compact"/>
      </w:pPr>
      <w:r>
        <w:rPr>
          <w:bCs/>
          <w:b/>
        </w:rPr>
        <w:t xml:space="preserve">Scope 1:</w:t>
      </w:r>
      <w:r>
        <w:t xml:space="preserve"> </w:t>
      </w:r>
      <w:r>
        <w:t xml:space="preserve">Direct GHG emissions from sources owned or controlled by ovqgeukqpv (e.g., factory boilers, company vehicles). For this \'factory_gate\' boundary, if direct combustion occurs in manufacturing, it would be Scope 1. (Illustrative: Not quantified separately without specific data, assumed minimal for manufacturing in this \'factory_gate\' scope relative to materials/energy inputs).</w:t>
      </w:r>
    </w:p>
    <w:p>
      <w:pPr>
        <w:numPr>
          <w:ilvl w:val="0"/>
          <w:numId w:val="1007"/>
        </w:numPr>
        <w:pStyle w:val="Compact"/>
      </w:pPr>
      <w:r>
        <w:rPr>
          <w:bCs/>
          <w:b/>
        </w:rPr>
        <w:t xml:space="preserve">Scope 2:</w:t>
      </w:r>
      <w:r>
        <w:t xml:space="preserve"> </w:t>
      </w:r>
      <w:r>
        <w:t xml:space="preserve">Indirect GHG emissions from the generation of purchased electricity, steam, heating, or cooling consumed by ovqgeukqpv.</w:t>
      </w:r>
    </w:p>
    <w:p>
      <w:pPr>
        <w:numPr>
          <w:ilvl w:val="0"/>
          <w:numId w:val="1007"/>
        </w:numPr>
        <w:pStyle w:val="Compact"/>
      </w:pPr>
      <w:r>
        <w:rPr>
          <w:bCs/>
          <w:b/>
        </w:rPr>
        <w:t xml:space="preserve">Scope 3:</w:t>
      </w:r>
      <w:r>
        <w:t xml:space="preserve"> </w:t>
      </w:r>
      <w:r>
        <w:t xml:space="preserve">All other indirect emissions that occur in the value chain of ovqgeukqpv, both upstream and downstream. This includes emissions from materials, transport, use phase, and end-of-life. We aim for at least 95% coverage for Scope 3 reporting, reflecting the comprehensive requirements for 2026.</w:t>
      </w:r>
    </w:p>
    <w:p>
      <w:pPr>
        <w:numPr>
          <w:ilvl w:val="0"/>
          <w:numId w:val="1007"/>
        </w:numPr>
        <w:pStyle w:val="Compact"/>
      </w:pPr>
      <w:r>
        <w:rPr>
          <w:bCs/>
          <w:b/>
        </w:rPr>
        <w:t xml:space="preserve">2026 LSR Update:</w:t>
      </w:r>
      <w:r>
        <w:t xml:space="preserve"> </w:t>
      </w:r>
      <w:r>
        <w:t xml:space="preserve">While specific land use or removal data for this product was not provided, the methodology acknowledges and applies the principles of the Land Sector and Removals (LSR) Standard. Any biogenic carbon uptake or emissions from land-based materials would be accounted for under this standard.</w:t>
      </w:r>
    </w:p>
    <w:bookmarkEnd w:id="31"/>
    <w:bookmarkStart w:id="37" w:name="detailed-emissions-breakdown"/>
    <w:p>
      <w:pPr>
        <w:pStyle w:val="Heading3"/>
      </w:pPr>
      <w:r>
        <w:t xml:space="preserve">4.2. Detailed Emissions Breakdown</w:t>
      </w:r>
    </w:p>
    <w:bookmarkStart w:id="32" w:name="Xff7c5413fb98c162b1334f26f3e47909acbc514"/>
    <w:p>
      <w:pPr>
        <w:pStyle w:val="Heading4"/>
      </w:pPr>
      <w:r>
        <w:t xml:space="preserve">Materials Acquisition &amp; Pre-processing (Scope 3 - Upstream)</w:t>
      </w:r>
    </w:p>
    <w:p>
      <w:pPr>
        <w:pStyle w:val="FirstParagraph"/>
      </w:pPr>
      <w:r>
        <w:t xml:space="preserve">Based on the provided Bill of Materials, the sum of "Total Carbon" values is used.</w:t>
      </w:r>
    </w:p>
    <w:p>
      <w:pPr>
        <w:numPr>
          <w:ilvl w:val="0"/>
          <w:numId w:val="1008"/>
        </w:numPr>
        <w:pStyle w:val="Compact"/>
      </w:pPr>
      <w:r>
        <w:rPr>
          <w:bCs/>
          <w:b/>
        </w:rPr>
        <w:t xml:space="preserve">Total Emissions:</w:t>
      </w:r>
      <w:r>
        <w:t xml:space="preserve"> </w:t>
      </w:r>
      <w:r>
        <w:t xml:space="preserve">10.7 kg CO2e.</w:t>
      </w:r>
    </w:p>
    <w:bookmarkEnd w:id="32"/>
    <w:bookmarkStart w:id="33" w:name="production-phase-scope-2"/>
    <w:p>
      <w:pPr>
        <w:pStyle w:val="Heading4"/>
      </w:pPr>
      <w:r>
        <w:t xml:space="preserve">Production Phase (Scope 2)</w:t>
      </w:r>
    </w:p>
    <w:p>
      <w:pPr>
        <w:pStyle w:val="FirstParagraph"/>
      </w:pPr>
      <w:r>
        <w:t xml:space="preserve">Emissions from electricity consumption during manufacturing in China.</w:t>
      </w:r>
    </w:p>
    <w:p>
      <w:pPr>
        <w:numPr>
          <w:ilvl w:val="0"/>
          <w:numId w:val="1009"/>
        </w:numPr>
        <w:pStyle w:val="Compact"/>
      </w:pPr>
      <w:r>
        <w:t xml:space="preserve">Energy Intensity: 5 kWh/unit</w:t>
      </w:r>
    </w:p>
    <w:p>
      <w:pPr>
        <w:numPr>
          <w:ilvl w:val="0"/>
          <w:numId w:val="1009"/>
        </w:numPr>
        <w:pStyle w:val="Compact"/>
      </w:pPr>
      <w:r>
        <w:t xml:space="preserve">Non-renewable energy portion: 30%</w:t>
      </w:r>
    </w:p>
    <w:p>
      <w:pPr>
        <w:numPr>
          <w:ilvl w:val="0"/>
          <w:numId w:val="1009"/>
        </w:numPr>
        <w:pStyle w:val="Compact"/>
      </w:pPr>
      <w:r>
        <w:t xml:space="preserve">Illustrative China grid electricity emission factor (2023): 0.6205 kg CO2e/kWh.</w:t>
      </w:r>
    </w:p>
    <w:p>
      <w:pPr>
        <w:numPr>
          <w:ilvl w:val="0"/>
          <w:numId w:val="1009"/>
        </w:numPr>
        <w:pStyle w:val="Compact"/>
      </w:pPr>
      <w:r>
        <w:rPr>
          <w:bCs/>
          <w:b/>
        </w:rPr>
        <w:t xml:space="preserve">Calculation:</w:t>
      </w:r>
      <w:r>
        <w:t xml:space="preserve"> </w:t>
      </w:r>
      <w:r>
        <w:t xml:space="preserve">5 kWh/unit * 0.30 * 0.6205 kg CO2e/kWh = 0.93 kg CO2e/unit.</w:t>
      </w:r>
    </w:p>
    <w:bookmarkEnd w:id="33"/>
    <w:bookmarkStart w:id="34" w:name="X3793f47c90058aa318323ddd66352ef2ed2afd7"/>
    <w:p>
      <w:pPr>
        <w:pStyle w:val="Heading4"/>
      </w:pPr>
      <w:r>
        <w:t xml:space="preserve">Transport &amp; Distribution (Scope 3 - Upstream/Downstream)</w:t>
      </w:r>
    </w:p>
    <w:p>
      <w:pPr>
        <w:pStyle w:val="FirstParagraph"/>
      </w:pPr>
      <w:r>
        <w:t xml:space="preserve">Emissions associated with transporting the product. (Assumed product weight ~1 kg for calculation purposes).</w:t>
      </w:r>
    </w:p>
    <w:p>
      <w:pPr>
        <w:numPr>
          <w:ilvl w:val="0"/>
          <w:numId w:val="1010"/>
        </w:numPr>
        <w:pStyle w:val="Compact"/>
      </w:pPr>
      <w:r>
        <w:rPr>
          <w:bCs/>
          <w:b/>
        </w:rPr>
        <w:t xml:space="preserve">Ocean Freight (Main Transport):</w:t>
      </w:r>
    </w:p>
    <w:p>
      <w:pPr>
        <w:numPr>
          <w:ilvl w:val="1"/>
          <w:numId w:val="1011"/>
        </w:numPr>
        <w:pStyle w:val="Compact"/>
      </w:pPr>
      <w:r>
        <w:t xml:space="preserve">Distance: 12,000 km</w:t>
      </w:r>
    </w:p>
    <w:p>
      <w:pPr>
        <w:numPr>
          <w:ilvl w:val="1"/>
          <w:numId w:val="1011"/>
        </w:numPr>
        <w:pStyle w:val="Compact"/>
      </w:pPr>
      <w:r>
        <w:t xml:space="preserve">Product Weight: 0.001 tonne (1 kg)</w:t>
      </w:r>
    </w:p>
    <w:p>
      <w:pPr>
        <w:numPr>
          <w:ilvl w:val="1"/>
          <w:numId w:val="1011"/>
        </w:numPr>
        <w:pStyle w:val="Compact"/>
      </w:pPr>
      <w:r>
        <w:t xml:space="preserve">Illustrative Ocean Freight EF (Container Ship): 0.016 kg CO2e/tonne-km.</w:t>
      </w:r>
    </w:p>
    <w:p>
      <w:pPr>
        <w:numPr>
          <w:ilvl w:val="1"/>
          <w:numId w:val="1011"/>
        </w:numPr>
        <w:pStyle w:val="Compact"/>
      </w:pPr>
      <w:r>
        <w:rPr>
          <w:bCs/>
          <w:b/>
        </w:rPr>
        <w:t xml:space="preserve">Calculation:</w:t>
      </w:r>
      <w:r>
        <w:t xml:space="preserve"> </w:t>
      </w:r>
      <w:r>
        <w:t xml:space="preserve">12,000 km * 0.001 tonne * 0.016 kg CO2e/tonne-km = 0.192 kg CO2e.</w:t>
      </w:r>
    </w:p>
    <w:p>
      <w:pPr>
        <w:numPr>
          <w:ilvl w:val="0"/>
          <w:numId w:val="1010"/>
        </w:numPr>
        <w:pStyle w:val="Compact"/>
      </w:pPr>
      <w:r>
        <w:rPr>
          <w:bCs/>
          <w:b/>
        </w:rPr>
        <w:t xml:space="preserve">Road Freight (Last-Mile Delivery):</w:t>
      </w:r>
    </w:p>
    <w:p>
      <w:pPr>
        <w:numPr>
          <w:ilvl w:val="1"/>
          <w:numId w:val="1012"/>
        </w:numPr>
        <w:pStyle w:val="Compact"/>
      </w:pPr>
      <w:r>
        <w:t xml:space="preserve">Distance: 500 km</w:t>
      </w:r>
    </w:p>
    <w:p>
      <w:pPr>
        <w:numPr>
          <w:ilvl w:val="1"/>
          <w:numId w:val="1012"/>
        </w:numPr>
        <w:pStyle w:val="Compact"/>
      </w:pPr>
      <w:r>
        <w:t xml:space="preserve">Product Weight: 0.001 tonne (1 kg)</w:t>
      </w:r>
    </w:p>
    <w:p>
      <w:pPr>
        <w:numPr>
          <w:ilvl w:val="1"/>
          <w:numId w:val="1012"/>
        </w:numPr>
        <w:pStyle w:val="Compact"/>
      </w:pPr>
      <w:r>
        <w:t xml:space="preserve">Illustrative Road Freight EF (HGV): 0.069 kg CO2e/tonne-km.</w:t>
      </w:r>
    </w:p>
    <w:p>
      <w:pPr>
        <w:numPr>
          <w:ilvl w:val="1"/>
          <w:numId w:val="1012"/>
        </w:numPr>
        <w:pStyle w:val="Compact"/>
      </w:pPr>
      <w:r>
        <w:rPr>
          <w:bCs/>
          <w:b/>
        </w:rPr>
        <w:t xml:space="preserve">Calculation:</w:t>
      </w:r>
      <w:r>
        <w:t xml:space="preserve"> </w:t>
      </w:r>
      <w:r>
        <w:t xml:space="preserve">500 km * 0.001 tonne * 0.069 kg CO2e/tonne-km = 0.0345 kg CO2e.</w:t>
      </w:r>
    </w:p>
    <w:p>
      <w:pPr>
        <w:numPr>
          <w:ilvl w:val="0"/>
          <w:numId w:val="1010"/>
        </w:numPr>
        <w:pStyle w:val="Compact"/>
      </w:pPr>
      <w:r>
        <w:rPr>
          <w:bCs/>
          <w:b/>
        </w:rPr>
        <w:t xml:space="preserve">Total Transport Emissions:</w:t>
      </w:r>
      <w:r>
        <w:t xml:space="preserve"> </w:t>
      </w:r>
      <w:r>
        <w:t xml:space="preserve">0.192 + 0.0345 = 0.2265 kg CO2e.</w:t>
      </w:r>
    </w:p>
    <w:bookmarkEnd w:id="34"/>
    <w:bookmarkStart w:id="35" w:name="use-phase-scope-3---downstream-1"/>
    <w:p>
      <w:pPr>
        <w:pStyle w:val="Heading4"/>
      </w:pPr>
      <w:r>
        <w:t xml:space="preserve">Use Phase (Scope 3 - Downstream)</w:t>
      </w:r>
    </w:p>
    <w:p>
      <w:pPr>
        <w:pStyle w:val="FirstParagraph"/>
      </w:pPr>
      <w:r>
        <w:t xml:space="preserve">Emissions from energy consumption during the product\'s lifespan.</w:t>
      </w:r>
    </w:p>
    <w:p>
      <w:pPr>
        <w:numPr>
          <w:ilvl w:val="0"/>
          <w:numId w:val="1013"/>
        </w:numPr>
        <w:pStyle w:val="Compact"/>
      </w:pPr>
      <w:r>
        <w:t xml:space="preserve">Total Energy Consumption: 50 kWh</w:t>
      </w:r>
    </w:p>
    <w:p>
      <w:pPr>
        <w:numPr>
          <w:ilvl w:val="0"/>
          <w:numId w:val="1013"/>
        </w:numPr>
        <w:pStyle w:val="Compact"/>
      </w:pPr>
      <w:r>
        <w:t xml:space="preserve">Illustrative Global Average Grid Electricity EF (2024 forecast): 0.445 kg CO2e/kWh.</w:t>
      </w:r>
    </w:p>
    <w:p>
      <w:pPr>
        <w:numPr>
          <w:ilvl w:val="0"/>
          <w:numId w:val="1013"/>
        </w:numPr>
        <w:pStyle w:val="Compact"/>
      </w:pPr>
      <w:r>
        <w:rPr>
          <w:bCs/>
          <w:b/>
        </w:rPr>
        <w:t xml:space="preserve">Calculation:</w:t>
      </w:r>
      <w:r>
        <w:t xml:space="preserve"> </w:t>
      </w:r>
      <w:r>
        <w:t xml:space="preserve">50 kWh * 0.445 kg CO2e/kWh = 22.25 kg CO2e.</w:t>
      </w:r>
    </w:p>
    <w:bookmarkEnd w:id="35"/>
    <w:bookmarkStart w:id="36" w:name="end-of-life-scope-3---downstream-1"/>
    <w:p>
      <w:pPr>
        <w:pStyle w:val="Heading4"/>
      </w:pPr>
      <w:r>
        <w:t xml:space="preserve">End-of-Life (Scope 3 - Downstream)</w:t>
      </w:r>
    </w:p>
    <w:p>
      <w:pPr>
        <w:pStyle w:val="FirstParagraph"/>
      </w:pPr>
      <w:r>
        <w:t xml:space="preserve">Emissions from the disposal of the non-recycled portion of the product. (Assumed product weight ~1 kg).</w:t>
      </w:r>
    </w:p>
    <w:p>
      <w:pPr>
        <w:numPr>
          <w:ilvl w:val="0"/>
          <w:numId w:val="1014"/>
        </w:numPr>
        <w:pStyle w:val="Compact"/>
      </w:pPr>
      <w:r>
        <w:t xml:space="preserve">Non-recycled portion: 20% of 1 kg = 0.2 kg.</w:t>
      </w:r>
    </w:p>
    <w:p>
      <w:pPr>
        <w:numPr>
          <w:ilvl w:val="0"/>
          <w:numId w:val="1014"/>
        </w:numPr>
        <w:pStyle w:val="Compact"/>
      </w:pPr>
      <w:r>
        <w:t xml:space="preserve">Illustrative Mixed Waste to Landfill EF: 0.3 kg CO2e/kg waste.</w:t>
      </w:r>
    </w:p>
    <w:p>
      <w:pPr>
        <w:numPr>
          <w:ilvl w:val="0"/>
          <w:numId w:val="1014"/>
        </w:numPr>
        <w:pStyle w:val="Compact"/>
      </w:pPr>
      <w:r>
        <w:rPr>
          <w:bCs/>
          <w:b/>
        </w:rPr>
        <w:t xml:space="preserve">Calculation:</w:t>
      </w:r>
      <w:r>
        <w:t xml:space="preserve"> </w:t>
      </w:r>
      <w:r>
        <w:t xml:space="preserve">0.2 kg * 0.3 kg CO2e/kg = 0.06 kg CO2e.</w:t>
      </w:r>
    </w:p>
    <w:p>
      <w:pPr>
        <w:numPr>
          <w:ilvl w:val="0"/>
          <w:numId w:val="1014"/>
        </w:numPr>
        <w:pStyle w:val="Compact"/>
      </w:pPr>
      <w:r>
        <w:rPr>
          <w:bCs/>
          <w:b/>
        </w:rPr>
        <w:t xml:space="preserve">Circular Programs:</w:t>
      </w:r>
      <w:r>
        <w:t xml:space="preserve"> </w:t>
      </w:r>
      <w:r>
        <w:t xml:space="preserve">The established take-back program for electronics components (iytsysdrgx) for the 80% recyclable portion suggests potential avoided emissions, but this is not directly quantified as a credit in this report without further data on material replacement and energy recovery from recycling.</w:t>
      </w:r>
    </w:p>
    <w:bookmarkEnd w:id="36"/>
    <w:bookmarkEnd w:id="37"/>
    <w:bookmarkStart w:id="38" w:name="summary-of-product-carbon-footprint"/>
    <w:p>
      <w:pPr>
        <w:pStyle w:val="Heading3"/>
      </w:pPr>
      <w:r>
        <w:t xml:space="preserve">4.3. Summary of Product Carbon Footprint</w:t>
      </w:r>
    </w:p>
    <w:p>
      <w:pPr>
        <w:pStyle w:val="FirstParagraph"/>
      </w:pPr>
      <w:r>
        <w:t xml:space="preserve">The total illustrative Product Carbon Footprint for one functional unit of tfnsundqer 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Illustrative 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10.70</w:t>
            </w:r>
          </w:p>
        </w:tc>
      </w:tr>
      <w:tr>
        <w:tc>
          <w:tcPr/>
          <w:p>
            <w:pPr>
              <w:pStyle w:val="Compact"/>
              <w:jc w:val="left"/>
            </w:pPr>
            <w:r>
              <w:t xml:space="preserve">Production Phase (Manufacturing Energy)</w:t>
            </w:r>
          </w:p>
        </w:tc>
        <w:tc>
          <w:tcPr/>
          <w:p>
            <w:pPr>
              <w:pStyle w:val="Compact"/>
              <w:jc w:val="left"/>
            </w:pPr>
            <w:r>
              <w:t xml:space="preserve">Scope 2</w:t>
            </w:r>
          </w:p>
        </w:tc>
        <w:tc>
          <w:tcPr/>
          <w:p>
            <w:pPr>
              <w:pStyle w:val="Compact"/>
              <w:jc w:val="left"/>
            </w:pPr>
            <w:r>
              <w:t xml:space="preserve">0.93</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0.23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22.25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34.17 kg CO2e/unit</w:t>
            </w:r>
          </w:p>
        </w:tc>
      </w:tr>
    </w:tbl>
    <w:p>
      <w:pPr>
        <w:pStyle w:val="BodyText"/>
      </w:pPr>
      <w:r>
        <w:rPr>
          <w:iCs/>
          <w:i/>
        </w:rPr>
        <w:t xml:space="preserve">Note: All calculations are illustrative, utilizing placeholder data and industry-average emission factors where specific inputs were not provided. Actual emissions may vary.</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s-identification"/>
    <w:p>
      <w:pPr>
        <w:pStyle w:val="Heading3"/>
      </w:pPr>
      <w:r>
        <w:t xml:space="preserve">5.1. Hotspots Identification</w:t>
      </w:r>
    </w:p>
    <w:p>
      <w:pPr>
        <w:pStyle w:val="FirstParagraph"/>
      </w:pPr>
      <w:r>
        <w:t xml:space="preserve">Based on this illustrative analysis, the primary emission hotspots for tfnsundqer are:</w:t>
      </w:r>
    </w:p>
    <w:p>
      <w:pPr>
        <w:numPr>
          <w:ilvl w:val="0"/>
          <w:numId w:val="1015"/>
        </w:numPr>
        <w:pStyle w:val="Compact"/>
      </w:pPr>
      <w:r>
        <w:rPr>
          <w:bCs/>
          <w:b/>
        </w:rPr>
        <w:t xml:space="preserve">Use Phase:</w:t>
      </w:r>
      <w:r>
        <w:t xml:space="preserve"> </w:t>
      </w:r>
      <w:r>
        <w:t xml:space="preserve">Representing approximately 65% of the total PCF (22.25 kg CO2e), the energy consumption during the product\'s lifespan is the most significant contributor. This highlights the importance of optimizing energy efficiency in product design and educating consumers on sustainable energy sourcing.</w:t>
      </w:r>
    </w:p>
    <w:p>
      <w:pPr>
        <w:numPr>
          <w:ilvl w:val="0"/>
          <w:numId w:val="1015"/>
        </w:numPr>
        <w:pStyle w:val="Compact"/>
      </w:pPr>
      <w:r>
        <w:rPr>
          <w:bCs/>
          <w:b/>
        </w:rPr>
        <w:t xml:space="preserve">Materials Acquisition &amp; Pre-processing:</w:t>
      </w:r>
      <w:r>
        <w:t xml:space="preserve"> </w:t>
      </w:r>
      <w:r>
        <w:t xml:space="preserve">Accounting for about 31% of the total PCF (10.7 kg CO2e), the choice and processing of raw materials have a substantial impact. This suggests opportunities for material optimization, selection of lower-carbon alternatives, or increasing recycled content.</w:t>
      </w:r>
    </w:p>
    <w:p>
      <w:pPr>
        <w:numPr>
          <w:ilvl w:val="0"/>
          <w:numId w:val="1015"/>
        </w:numPr>
        <w:pStyle w:val="Compact"/>
      </w:pPr>
      <w:r>
        <w:t xml:space="preserve">Other stages (Production, Transport, End-of-Life) contribute a smaller but still significant portion, indicating areas for continuous improvement in manufacturing processes, logistics efficiency, and waste management.</w:t>
      </w:r>
    </w:p>
    <w:bookmarkEnd w:id="40"/>
    <w:bookmarkStart w:id="41" w:name="reliability-statement"/>
    <w:p>
      <w:pPr>
        <w:pStyle w:val="Heading3"/>
      </w:pPr>
      <w:r>
        <w:t xml:space="preserve">5.2. Reliability Statement</w:t>
      </w:r>
    </w:p>
    <w:p>
      <w:pPr>
        <w:pStyle w:val="FirstParagraph"/>
      </w:pPr>
      <w:r>
        <w:t xml:space="preserve">The reliability of this Product Carbon Footprint analysis is directly dependent on the accuracy and completeness of the input data. The provided Bill of Materials data has been used directly. For other lifecycle stages, illustrative parameters and industry-average emission factors have been applied. Future refinements could include:</w:t>
      </w:r>
    </w:p>
    <w:p>
      <w:pPr>
        <w:numPr>
          <w:ilvl w:val="0"/>
          <w:numId w:val="1016"/>
        </w:numPr>
        <w:pStyle w:val="Compact"/>
      </w:pPr>
      <w:r>
        <w:t xml:space="preserve">Collecting primary data for transport (e.g., actual vehicle types, load factors for \'Select Mode\' and \'Delivery Type\').</w:t>
      </w:r>
    </w:p>
    <w:p>
      <w:pPr>
        <w:numPr>
          <w:ilvl w:val="0"/>
          <w:numId w:val="1016"/>
        </w:numPr>
        <w:pStyle w:val="Compact"/>
      </w:pPr>
      <w:r>
        <w:t xml:space="preserve">Obtaining country-specific, up-to-date grid electricity mix data for the use phase, reflecting regional variations in consumer energy sources.</w:t>
      </w:r>
    </w:p>
    <w:p>
      <w:pPr>
        <w:numPr>
          <w:ilvl w:val="0"/>
          <w:numId w:val="1016"/>
        </w:numPr>
        <w:pStyle w:val="Compact"/>
      </w:pPr>
      <w:r>
        <w:t xml:space="preserve">Detailed modeling of avoided emissions from recycling and circular programs based on specific end-of-life routes and displaced virgin material production.</w:t>
      </w:r>
    </w:p>
    <w:p>
      <w:pPr>
        <w:numPr>
          <w:ilvl w:val="0"/>
          <w:numId w:val="1016"/>
        </w:numPr>
        <w:pStyle w:val="Compact"/>
      </w:pPr>
      <w:r>
        <w:t xml:space="preserve">Quantifying any land use change (LUC) emissions or removals relevant to the product\'s bio-based components, in line with the 2026 LSR Standard.</w:t>
      </w:r>
    </w:p>
    <w:p>
      <w:pPr>
        <w:pStyle w:val="FirstParagraph"/>
      </w:pPr>
      <w:r>
        <w:t xml:space="preserve">Overall, this report provides a robust framework for understanding the carbon footprint of tfnsundqer and serves as a foundation for identifying and prioritizing emission reduction strategies for ovqgeukqpv.</w:t>
      </w:r>
    </w:p>
    <w:p>
      <w:pPr>
        <w:pStyle w:val="BodyText"/>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tfnsundqer</dc:title>
  <dc:creator/>
  <dc:description>High-detail Product Carbon Footprint (PCF) analysis for tfnsundqer by ovqgeukqpv, following GHG Protocol standards and 2026 LSR update.</dc:description>
  <dc:language>en</dc:language>
  <cp:keywords/>
  <dcterms:created xsi:type="dcterms:W3CDTF">2026-07-15T20:12:34Z</dcterms:created>
  <dcterms:modified xsi:type="dcterms:W3CDTF">2026-07-15T20:12:34Z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