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tenyijxomw</w:t>
      </w:r>
    </w:p>
    <w:p>
      <w:pPr>
        <w:pStyle w:val="FirstParagraph"/>
      </w:pPr>
      <w:r>
        <w:t xml:space="preserve">carboncalcpcf.com</w:t>
      </w:r>
    </w:p>
    <w:bookmarkStart w:id="21" w:name="product-carbon-footprint-analysis-report"/>
    <w:p>
      <w:pPr>
        <w:pStyle w:val="Heading1"/>
      </w:pPr>
      <w:r>
        <w:t xml:space="preserve">Product Carbon Footprint Analysis Report</w:t>
      </w:r>
    </w:p>
    <w:bookmarkStart w:id="20" w:name="product-tenyijxomw"/>
    <w:p>
      <w:pPr>
        <w:pStyle w:val="Heading2"/>
      </w:pPr>
      <w:r>
        <w:t xml:space="preserve">Product: tenyijxomw</w:t>
      </w:r>
    </w:p>
    <w:p>
      <w:pPr>
        <w:pStyle w:val="FirstParagraph"/>
      </w:pPr>
      <w:r>
        <w:rPr>
          <w:bCs/>
          <w:b/>
        </w:rPr>
        <w:t xml:space="preserve">Company:</w:t>
      </w:r>
      <w:r>
        <w:t xml:space="preserve"> </w:t>
      </w:r>
      <w:r>
        <w:t xml:space="preserve">iugmfmnyln</w:t>
      </w:r>
    </w:p>
    <w:p>
      <w:pPr>
        <w:pStyle w:val="BodyText"/>
      </w:pPr>
      <w:r>
        <w:rPr>
          <w:bCs/>
          <w:b/>
        </w:rPr>
        <w:t xml:space="preserve">Senior Sustainability Consultant:</w:t>
      </w:r>
      <w:r>
        <w:t xml:space="preserve"> </w:t>
      </w:r>
      <w:r>
        <w:t xml:space="preserve">nuwgfvuiok</w:t>
      </w:r>
    </w:p>
    <w:p>
      <w:pPr>
        <w:pStyle w:val="BodyText"/>
      </w:pPr>
      <w:r>
        <w:rPr>
          <w:bCs/>
          <w:b/>
        </w:rPr>
        <w:t xml:space="preserve">Protocol Data (Accounting Standard):</w:t>
      </w:r>
      <w:r>
        <w:t xml:space="preserve"> </w:t>
      </w:r>
      <w:r>
        <w:t xml:space="preserve">GHG Protocol</w:t>
      </w:r>
    </w:p>
    <w:p>
      <w:pPr>
        <w:pStyle w:val="BodyText"/>
      </w:pPr>
      <w:r>
        <w:t xml:space="preserve">This report is generated based on available data and industry standards. While every effort has been made to ensure accuracy, the actual environmental impact may vary based on real-world conditions and data availability.</w:t>
      </w:r>
    </w:p>
    <w:bookmarkEnd w:id="20"/>
    <w:bookmarkEnd w:id="21"/>
    <w:bookmarkStart w:id="22" w:name="X4842e5c2481cb78ec175ab34a65e8a31128ed21"/>
    <w:p>
      <w:pPr>
        <w:pStyle w:val="Heading1"/>
      </w:pPr>
      <w:r>
        <w:t xml:space="preserve">Product Carbon Footprint Analysis Report for tenyijxomw</w:t>
      </w:r>
    </w:p>
    <w:p>
      <w:pPr>
        <w:pStyle w:val="FirstParagraph"/>
      </w:pPr>
      <w:r>
        <w:t xml:space="preserve">Generated Date: June 2, 2026</w:t>
      </w:r>
    </w:p>
    <w:p>
      <w:r>
        <w:pict>
          <v:rect style="width:0;height:1.5pt" o:hralign="center" o:hrstd="t" o:hr="t"/>
        </w:pict>
      </w:r>
    </w:p>
    <w:bookmarkEnd w:id="22"/>
    <w:bookmarkStart w:id="23" w:name="executive-summary"/>
    <w:p>
      <w:pPr>
        <w:pStyle w:val="Heading2"/>
      </w:pPr>
      <w:r>
        <w:t xml:space="preserve">Executive Summary</w:t>
      </w:r>
    </w:p>
    <w:p>
      <w:pPr>
        <w:pStyle w:val="FirstParagraph"/>
      </w:pPr>
      <w:r>
        <w:t xml:space="preserve">This report presents a high-detail Product Carbon Footprint (PCF) analysis for the product tenyijxomw, manufactured by iugmfmnyln. As a Senior Sustainability Consultant specializing in GHG Protocol, nuwgfvuiok conducted this assessment. The analysis adheres to the GHG Protocol\'s Corporate Standard and the Product Standard, categorizing emissions into Scope 1, 2, and 3 across the entire product lifecycle from a factory-gate perspective. Special attention has been given to the 2026 Land Sector and Removals (LSR) Standard update and achieving at least 95% coverage for Scope 3 emissions, aligning with current best practices and future requirements. The findings highlight key emission hotspots and provide a foundational understanding for targeted decarbonization efforts.</w:t>
      </w:r>
    </w:p>
    <w:p>
      <w:r>
        <w:pict>
          <v:rect style="width:0;height:1.5pt" o:hralign="center" o:hrstd="t" o:hr="t"/>
        </w:pict>
      </w:r>
    </w:p>
    <w:bookmarkEnd w:id="23"/>
    <w:bookmarkStart w:id="24" w:name="define-scope"/>
    <w:p>
      <w:pPr>
        <w:pStyle w:val="Heading2"/>
      </w:pPr>
      <w:r>
        <w:t xml:space="preserve">1. Define Scope</w:t>
      </w:r>
    </w:p>
    <w:p>
      <w:pPr>
        <w:pStyle w:val="FirstParagraph"/>
      </w:pPr>
      <w:r>
        <w:t xml:space="preserve">The scope of this Product Carbon Footprint (PCF) analysis for tenyijxomw is defined as follows:</w:t>
      </w:r>
    </w:p>
    <w:p>
      <w:pPr>
        <w:numPr>
          <w:ilvl w:val="0"/>
          <w:numId w:val="1001"/>
        </w:numPr>
        <w:pStyle w:val="Compact"/>
      </w:pPr>
      <w:r>
        <w:rPr>
          <w:bCs/>
          <w:b/>
        </w:rPr>
        <w:t xml:space="preserve">Functional Unit:</w:t>
      </w:r>
      <w:r>
        <w:t xml:space="preserve"> </w:t>
      </w:r>
      <w:r>
        <w:t xml:space="preserve">1.0 unit of tenyijxomw. This represents the quantified performance of the product for which the environmental impacts are calculated.</w:t>
      </w:r>
    </w:p>
    <w:p>
      <w:pPr>
        <w:numPr>
          <w:ilvl w:val="0"/>
          <w:numId w:val="1001"/>
        </w:numPr>
        <w:pStyle w:val="Compact"/>
      </w:pPr>
      <w:r>
        <w:rPr>
          <w:bCs/>
          <w:b/>
        </w:rPr>
        <w:t xml:space="preserve">System Boundary:</w:t>
      </w:r>
      <w:r>
        <w:t xml:space="preserve"> </w:t>
      </w:r>
      <w:r>
        <w:t xml:space="preserve">Factory-gate. This boundary includes all upstream processes related to material acquisition, manufacturing, and transportation to the final production facility in China. Emissions from the use phase and end-of-life are also included as part of the product\'s life cycle, extending beyond the strict factory gate to a "cradle-to-grave" perspective for comprehensive Scope 3 coverage.</w:t>
      </w:r>
    </w:p>
    <w:p>
      <w:pPr>
        <w:numPr>
          <w:ilvl w:val="0"/>
          <w:numId w:val="1001"/>
        </w:numPr>
        <w:pStyle w:val="Compact"/>
      </w:pPr>
      <w:r>
        <w:rPr>
          <w:bCs/>
          <w:b/>
        </w:rPr>
        <w:t xml:space="preserve">Geographic Scope:</w:t>
      </w:r>
      <w:r>
        <w:t xml:space="preserve"> </w:t>
      </w:r>
      <w:r>
        <w:t xml:space="preserve">Final Production Country: China, Supply Chain Focus: Europe Focused. This implies that while the final assembly occurs in China, a significant portion of the raw materials and components, and thus upstream emissions, originate from or are routed through Europe.</w:t>
      </w:r>
    </w:p>
    <w:p>
      <w:pPr>
        <w:numPr>
          <w:ilvl w:val="0"/>
          <w:numId w:val="1001"/>
        </w:numPr>
        <w:pStyle w:val="Compact"/>
      </w:pPr>
      <w:r>
        <w:rPr>
          <w:bCs/>
          <w:b/>
        </w:rPr>
        <w:t xml:space="preserve">Accounting Standard:</w:t>
      </w:r>
      <w:r>
        <w:t xml:space="preserve"> </w:t>
      </w:r>
      <w:r>
        <w:t xml:space="preserve">GHG Protocol. This analysis strictly follows the Greenhouse Gas Protocol\'s Corporate Accounting and Reporting Standard and the Product Life Cycle Accounting and Reporting Standard. Emissions are categorized into Scope 1, Scope 2, and Scope 3.</w:t>
      </w:r>
    </w:p>
    <w:p>
      <w:pPr>
        <w:numPr>
          <w:ilvl w:val="0"/>
          <w:numId w:val="1001"/>
        </w:numPr>
        <w:pStyle w:val="Compact"/>
      </w:pPr>
      <w:r>
        <w:rPr>
          <w:bCs/>
          <w:b/>
        </w:rPr>
        <w:t xml:space="preserve">Allocation:</w:t>
      </w:r>
      <w:r>
        <w:t xml:space="preserve"> </w:t>
      </w:r>
      <w:r>
        <w:t xml:space="preserve">All emissions are directly allocated to the functional unit (1.0 unit of tenyijxomw), as this is a single product PCF. Co-product allocation is not applicable in this specific context.</w:t>
      </w:r>
    </w:p>
    <w:p>
      <w:r>
        <w:pict>
          <v:rect style="width:0;height:1.5pt" o:hralign="center" o:hrstd="t" o:hr="t"/>
        </w:pict>
      </w:r>
    </w:p>
    <w:bookmarkEnd w:id="24"/>
    <w:bookmarkStart w:id="30" w:name="X668a29dea6996859d52024a913312988ccfa3c9"/>
    <w:p>
      <w:pPr>
        <w:pStyle w:val="Heading2"/>
      </w:pPr>
      <w:r>
        <w:t xml:space="preserve">2. Map Lifecycle (LCI Inventory Stages) &amp; 3. Collect Data</w:t>
      </w:r>
    </w:p>
    <w:p>
      <w:pPr>
        <w:pStyle w:val="FirstParagraph"/>
      </w:pPr>
      <w:r>
        <w:t xml:space="preserve">The lifecycle of tenyijxomw is mapped across the following stages, with data collection leveraging primary parameters provided and assumed industry-standard emission factors. Emissions are categorized according to the GHG Protocol as Scope 1 (direct emissions from owned or controlled sources), Scope 2 (indirect emissions from purchased electricity, heat, or steam), and Scope 3 (all other indirect emissions in the value chain, both upstream and downstream).</w:t>
      </w:r>
    </w:p>
    <w:bookmarkStart w:id="25" w:name="Xb9991e41273d01f3f9e0e1f39c0df6d27520278"/>
    <w:p>
      <w:pPr>
        <w:pStyle w:val="Heading3"/>
      </w:pPr>
      <w:r>
        <w:t xml:space="preserve">Detailed Bill of Materials (BOM) and Material Inputs (Scope 3 - Upstream)</w:t>
      </w:r>
    </w:p>
    <w:p>
      <w:pPr>
        <w:pStyle w:val="FirstParagraph"/>
      </w:pPr>
      <w:r>
        <w:t xml:space="preserve">The provided Detailed Bill of Materials (BOM) for owpyqswz is crucial for high-accuracy material impact calculation. We parse the following BOM data:</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15.0</w:t>
            </w:r>
          </w:p>
        </w:tc>
        <w:tc>
          <w:tcPr/>
          <w:p>
            <w:pPr>
              <w:pStyle w:val="Compact"/>
              <w:jc w:val="left"/>
            </w:pPr>
            <w:r>
              <w:t xml:space="preserve">7.50</w:t>
            </w:r>
          </w:p>
        </w:tc>
      </w:tr>
      <w:tr>
        <w:tc>
          <w:tcPr/>
          <w:p>
            <w:pPr>
              <w:pStyle w:val="Compact"/>
              <w:jc w:val="left"/>
            </w:pPr>
            <w:r>
              <w:t xml:space="preserve">2</w:t>
            </w:r>
          </w:p>
        </w:tc>
        <w:tc>
          <w:tcPr/>
          <w:p>
            <w:pPr>
              <w:pStyle w:val="Compact"/>
              <w:jc w:val="left"/>
            </w:pPr>
            <w:r>
              <w:t xml:space="preserve">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20.0</w:t>
            </w:r>
          </w:p>
        </w:tc>
        <w:tc>
          <w:tcPr/>
          <w:p>
            <w:pPr>
              <w:pStyle w:val="Compact"/>
              <w:jc w:val="left"/>
            </w:pPr>
            <w:r>
              <w:t xml:space="preserve">2.00</w:t>
            </w:r>
          </w:p>
        </w:tc>
      </w:tr>
      <w:tr>
        <w:tc>
          <w:tcPr/>
          <w:p>
            <w:pPr>
              <w:pStyle w:val="Compact"/>
              <w:jc w:val="left"/>
            </w:pPr>
            <w:r>
              <w:t xml:space="preserve">3</w:t>
            </w:r>
          </w:p>
        </w:tc>
        <w:tc>
          <w:tcPr/>
          <w:p>
            <w:pPr>
              <w:pStyle w:val="Compact"/>
              <w:jc w:val="left"/>
            </w:pPr>
            <w:r>
              <w:t xml:space="preserve">Lithium-ion Battery</w:t>
            </w:r>
          </w:p>
        </w:tc>
        <w:tc>
          <w:tcPr/>
          <w:p>
            <w:pPr>
              <w:pStyle w:val="Compact"/>
              <w:jc w:val="left"/>
            </w:pPr>
            <w:r>
              <w:t xml:space="preserve">Chemicals</w:t>
            </w:r>
          </w:p>
        </w:tc>
        <w:tc>
          <w:tcPr/>
          <w:p>
            <w:pPr>
              <w:pStyle w:val="Compact"/>
              <w:jc w:val="left"/>
            </w:pPr>
            <w:r>
              <w:t xml:space="preserve">Manufacturing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10.0</w:t>
            </w:r>
          </w:p>
        </w:tc>
        <w:tc>
          <w:tcPr/>
          <w:p>
            <w:pPr>
              <w:pStyle w:val="Compact"/>
              <w:jc w:val="left"/>
            </w:pPr>
            <w:r>
              <w:t xml:space="preserve">2.00</w:t>
            </w:r>
          </w:p>
        </w:tc>
      </w:tr>
      <w:tr>
        <w:tc>
          <w:tcPr/>
          <w:p>
            <w:pPr>
              <w:pStyle w:val="Compact"/>
              <w:jc w:val="left"/>
            </w:pPr>
            <w:r>
              <w:t xml:space="preserve">4</w:t>
            </w:r>
          </w:p>
        </w:tc>
        <w:tc>
          <w:tcPr/>
          <w:p>
            <w:pPr>
              <w:pStyle w:val="Compact"/>
              <w:jc w:val="left"/>
            </w:pPr>
            <w:r>
              <w:t xml:space="preserve">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3.5</w:t>
            </w:r>
          </w:p>
        </w:tc>
        <w:tc>
          <w:tcPr/>
          <w:p>
            <w:pPr>
              <w:pStyle w:val="Compact"/>
              <w:jc w:val="left"/>
            </w:pPr>
            <w:r>
              <w:t xml:space="preserve">1.05</w:t>
            </w:r>
          </w:p>
        </w:tc>
      </w:tr>
      <w:tr>
        <w:tc>
          <w:tcPr/>
          <w:p>
            <w:pPr>
              <w:pStyle w:val="Compact"/>
              <w:jc w:val="left"/>
            </w:pPr>
            <w:r>
              <w:t xml:space="preserve">5</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8.0</w:t>
            </w:r>
          </w:p>
        </w:tc>
        <w:tc>
          <w:tcPr/>
          <w:p>
            <w:pPr>
              <w:pStyle w:val="Compact"/>
              <w:jc w:val="left"/>
            </w:pPr>
            <w:r>
              <w:t xml:space="preserve">0.16</w:t>
            </w:r>
          </w:p>
        </w:tc>
      </w:tr>
    </w:tbl>
    <w:p>
      <w:pPr>
        <w:pStyle w:val="BodyText"/>
      </w:pPr>
      <w:r>
        <w:t xml:space="preserve">Total mass of materials per unit (for transport calculations): 0.5 + 0.1 + 0.2 + 0.3 + 0.02 = 1.12 kg.</w:t>
      </w:r>
    </w:p>
    <w:bookmarkEnd w:id="25"/>
    <w:bookmarkStart w:id="26" w:name="energy-inputs-manufacturing---scope-2"/>
    <w:p>
      <w:pPr>
        <w:pStyle w:val="Heading3"/>
      </w:pPr>
      <w:r>
        <w:t xml:space="preserve">Energy Inputs (Manufacturing - Scope 2)</w:t>
      </w:r>
    </w:p>
    <w:p>
      <w:pPr>
        <w:numPr>
          <w:ilvl w:val="0"/>
          <w:numId w:val="1002"/>
        </w:numPr>
        <w:pStyle w:val="Compact"/>
      </w:pPr>
      <w:r>
        <w:rPr>
          <w:bCs/>
          <w:b/>
        </w:rPr>
        <w:t xml:space="preserve">Energy Intensity (kWh/unit):</w:t>
      </w:r>
      <w:r>
        <w:t xml:space="preserve"> </w:t>
      </w:r>
      <w:r>
        <w:t xml:space="preserve">mwsdnlnouh (Assumed: 1.5 kWh/unit)</w:t>
      </w:r>
    </w:p>
    <w:p>
      <w:pPr>
        <w:numPr>
          <w:ilvl w:val="0"/>
          <w:numId w:val="1002"/>
        </w:numPr>
        <w:pStyle w:val="Compact"/>
      </w:pPr>
      <w:r>
        <w:rPr>
          <w:bCs/>
          <w:b/>
        </w:rPr>
        <w:t xml:space="preserve">Renewable Energy Usage:</w:t>
      </w:r>
      <w:r>
        <w:t xml:space="preserve"> </w:t>
      </w:r>
      <w:r>
        <w:t xml:space="preserve">eylmoveutq (Assumed: 75%)</w:t>
      </w:r>
    </w:p>
    <w:bookmarkEnd w:id="26"/>
    <w:bookmarkStart w:id="27" w:name="X868c37c7a6a42bd7152ce7cd46aff1eec36c0bd"/>
    <w:p>
      <w:pPr>
        <w:pStyle w:val="Heading3"/>
      </w:pPr>
      <w:r>
        <w:t xml:space="preserve">Logistics Data (Scope 3 - Upstream &amp; Downstream)</w:t>
      </w:r>
    </w:p>
    <w:p>
      <w:pPr>
        <w:numPr>
          <w:ilvl w:val="0"/>
          <w:numId w:val="1003"/>
        </w:numPr>
        <w:pStyle w:val="Compact"/>
      </w:pPr>
      <w:r>
        <w:rPr>
          <w:bCs/>
          <w:b/>
        </w:rPr>
        <w:t xml:space="preserve">Transport Mode (Main):</w:t>
      </w:r>
      <w:r>
        <w:t xml:space="preserve"> </w:t>
      </w:r>
      <w:r>
        <w:t xml:space="preserve">Select Mode (Assumed: Ocean Freight, Container Ship)</w:t>
      </w:r>
    </w:p>
    <w:p>
      <w:pPr>
        <w:numPr>
          <w:ilvl w:val="0"/>
          <w:numId w:val="1003"/>
        </w:numPr>
        <w:pStyle w:val="Compact"/>
      </w:pPr>
      <w:r>
        <w:rPr>
          <w:bCs/>
          <w:b/>
        </w:rPr>
        <w:t xml:space="preserve">Transport Distance (Main):</w:t>
      </w:r>
      <w:r>
        <w:t xml:space="preserve"> </w:t>
      </w:r>
      <w:r>
        <w:t xml:space="preserve">xlondgfrsd (Assumed: 5000 km)</w:t>
      </w:r>
    </w:p>
    <w:p>
      <w:pPr>
        <w:numPr>
          <w:ilvl w:val="0"/>
          <w:numId w:val="1003"/>
        </w:numPr>
        <w:pStyle w:val="Compact"/>
      </w:pPr>
      <w:r>
        <w:rPr>
          <w:bCs/>
          <w:b/>
        </w:rPr>
        <w:t xml:space="preserve">Last-Mile Delivery Channel:</w:t>
      </w:r>
      <w:r>
        <w:t xml:space="preserve"> </w:t>
      </w:r>
      <w:r>
        <w:t xml:space="preserve">Delivery Type (Assumed: Road Freight, Light Duty Vehicle)</w:t>
      </w:r>
    </w:p>
    <w:p>
      <w:pPr>
        <w:numPr>
          <w:ilvl w:val="0"/>
          <w:numId w:val="1003"/>
        </w:numPr>
        <w:pStyle w:val="Compact"/>
      </w:pPr>
      <w:r>
        <w:rPr>
          <w:bCs/>
          <w:b/>
        </w:rPr>
        <w:t xml:space="preserve">Last-Mile Delivery Distance (Assumed):</w:t>
      </w:r>
      <w:r>
        <w:t xml:space="preserve"> </w:t>
      </w:r>
      <w:r>
        <w:t xml:space="preserve">100 km</w:t>
      </w:r>
    </w:p>
    <w:bookmarkEnd w:id="27"/>
    <w:bookmarkStart w:id="28" w:name="use-phase-data-scope-3---downstream"/>
    <w:p>
      <w:pPr>
        <w:pStyle w:val="Heading3"/>
      </w:pPr>
      <w:r>
        <w:t xml:space="preserve">Use Phase Data (Scope 3 - Downstream)</w:t>
      </w:r>
    </w:p>
    <w:p>
      <w:pPr>
        <w:numPr>
          <w:ilvl w:val="0"/>
          <w:numId w:val="1004"/>
        </w:numPr>
        <w:pStyle w:val="Compact"/>
      </w:pPr>
      <w:r>
        <w:rPr>
          <w:bCs/>
          <w:b/>
        </w:rPr>
        <w:t xml:space="preserve">Product Lifespan:</w:t>
      </w:r>
      <w:r>
        <w:t xml:space="preserve"> </w:t>
      </w:r>
      <w:r>
        <w:t xml:space="preserve">duwemztgnt (Assumed: 5 years)</w:t>
      </w:r>
    </w:p>
    <w:p>
      <w:pPr>
        <w:numPr>
          <w:ilvl w:val="0"/>
          <w:numId w:val="1004"/>
        </w:numPr>
        <w:pStyle w:val="Compact"/>
      </w:pPr>
      <w:r>
        <w:rPr>
          <w:bCs/>
          <w:b/>
        </w:rPr>
        <w:t xml:space="preserve">Energy Consumption in Use:</w:t>
      </w:r>
      <w:r>
        <w:t xml:space="preserve"> </w:t>
      </w:r>
      <w:r>
        <w:t xml:space="preserve">zyxgmqheik (Assumed: 10 kWh/year)</w:t>
      </w:r>
    </w:p>
    <w:bookmarkEnd w:id="28"/>
    <w:bookmarkStart w:id="29" w:name="X2449e76f36fce2c9fec3c701a472f020b80894d"/>
    <w:p>
      <w:pPr>
        <w:pStyle w:val="Heading3"/>
      </w:pPr>
      <w:r>
        <w:t xml:space="preserve">End-of-Life (EoL) Scenarios (Scope 3 - Downstream)</w:t>
      </w:r>
    </w:p>
    <w:p>
      <w:pPr>
        <w:numPr>
          <w:ilvl w:val="0"/>
          <w:numId w:val="1005"/>
        </w:numPr>
        <w:pStyle w:val="Compact"/>
      </w:pPr>
      <w:r>
        <w:rPr>
          <w:bCs/>
          <w:b/>
        </w:rPr>
        <w:t xml:space="preserve">Recyclability Percentage:</w:t>
      </w:r>
      <w:r>
        <w:t xml:space="preserve"> </w:t>
      </w:r>
      <w:r>
        <w:t xml:space="preserve">exznmxfuoz (Assumed: 80%)</w:t>
      </w:r>
    </w:p>
    <w:p>
      <w:pPr>
        <w:numPr>
          <w:ilvl w:val="0"/>
          <w:numId w:val="1005"/>
        </w:numPr>
        <w:pStyle w:val="Compact"/>
      </w:pPr>
      <w:r>
        <w:rPr>
          <w:bCs/>
          <w:b/>
        </w:rPr>
        <w:t xml:space="preserve">Circular/Take-back Programs:</w:t>
      </w:r>
      <w:r>
        <w:t xml:space="preserve"> </w:t>
      </w:r>
      <w:r>
        <w:t xml:space="preserve">oryoniodeg (Assumed: Yes, established product take-back program)</w:t>
      </w:r>
    </w:p>
    <w:p>
      <w:r>
        <w:pict>
          <v:rect style="width:0;height:1.5pt" o:hralign="center" o:hrstd="t" o:hr="t"/>
        </w:pict>
      </w:r>
    </w:p>
    <w:bookmarkEnd w:id="29"/>
    <w:bookmarkEnd w:id="30"/>
    <w:bookmarkStart w:id="42" w:name="calculate-emissions"/>
    <w:p>
      <w:pPr>
        <w:pStyle w:val="Heading2"/>
      </w:pPr>
      <w:r>
        <w:t xml:space="preserve">4. Calculate Emissions</w:t>
      </w:r>
    </w:p>
    <w:p>
      <w:pPr>
        <w:pStyle w:val="FirstParagraph"/>
      </w:pPr>
      <w:r>
        <w:t xml:space="preserve">Emissions are calculated using the formula: Activity Data × Emission Factor = CO2e. Industry-standard emission factors (e.g., from Ecoinvent/DEFRA) are applied, and specific values from the provided parameters are used. For transparency, assumed values for emission factors are explicitly stated.</w:t>
      </w:r>
    </w:p>
    <w:bookmarkStart w:id="31" w:name="emission-factors-used-assumedsourced"/>
    <w:p>
      <w:pPr>
        <w:pStyle w:val="Heading3"/>
      </w:pPr>
      <w:r>
        <w:t xml:space="preserve">Emission Factors Used (Assumed/Sourced):</w:t>
      </w:r>
    </w:p>
    <w:p>
      <w:pPr>
        <w:numPr>
          <w:ilvl w:val="0"/>
          <w:numId w:val="1006"/>
        </w:numPr>
        <w:pStyle w:val="Compact"/>
      </w:pPr>
      <w:r>
        <w:rPr>
          <w:bCs/>
          <w:b/>
        </w:rPr>
        <w:t xml:space="preserve">Electricity Grid Mix (China):</w:t>
      </w:r>
      <w:r>
        <w:t xml:space="preserve"> </w:t>
      </w:r>
      <w:r>
        <w:t xml:space="preserve">0.556 kg CO2e/kWh</w:t>
      </w:r>
    </w:p>
    <w:p>
      <w:pPr>
        <w:numPr>
          <w:ilvl w:val="0"/>
          <w:numId w:val="1006"/>
        </w:numPr>
        <w:pStyle w:val="Compact"/>
      </w:pPr>
      <w:r>
        <w:rPr>
          <w:bCs/>
          <w:b/>
        </w:rPr>
        <w:t xml:space="preserve">Ocean Freight (Container Ship):</w:t>
      </w:r>
      <w:r>
        <w:t xml:space="preserve"> </w:t>
      </w:r>
      <w:r>
        <w:t xml:space="preserve">0.016 kg CO2e/tonne-km</w:t>
      </w:r>
    </w:p>
    <w:p>
      <w:pPr>
        <w:numPr>
          <w:ilvl w:val="0"/>
          <w:numId w:val="1006"/>
        </w:numPr>
        <w:pStyle w:val="Compact"/>
      </w:pPr>
      <w:r>
        <w:rPr>
          <w:bCs/>
          <w:b/>
        </w:rPr>
        <w:t xml:space="preserve">Road Freight (Light Duty Vehicle):</w:t>
      </w:r>
      <w:r>
        <w:t xml:space="preserve"> </w:t>
      </w:r>
      <w:r>
        <w:t xml:space="preserve">0.069 kg CO2e/tonne-km</w:t>
      </w:r>
    </w:p>
    <w:p>
      <w:pPr>
        <w:numPr>
          <w:ilvl w:val="0"/>
          <w:numId w:val="1006"/>
        </w:numPr>
        <w:pStyle w:val="Compact"/>
      </w:pPr>
      <w:r>
        <w:rPr>
          <w:bCs/>
          <w:b/>
        </w:rPr>
        <w:t xml:space="preserve">Landfilling Mixed Waste:</w:t>
      </w:r>
      <w:r>
        <w:t xml:space="preserve"> </w:t>
      </w:r>
      <w:r>
        <w:t xml:space="preserve">0.3 kg CO2e/kg (300 kg CO2e/tonne) for conventional mixed waste, excluding biogenic carbon storage benefits.</w:t>
      </w:r>
    </w:p>
    <w:bookmarkEnd w:id="31"/>
    <w:bookmarkStart w:id="37" w:name="detailed-emission-calculations"/>
    <w:p>
      <w:pPr>
        <w:pStyle w:val="Heading3"/>
      </w:pPr>
      <w:r>
        <w:t xml:space="preserve">Detailed Emission Calculations:</w:t>
      </w:r>
    </w:p>
    <w:bookmarkStart w:id="32" w:name="X5895d2a093bf72327af3b08129fc8f3e171d926"/>
    <w:p>
      <w:pPr>
        <w:pStyle w:val="Heading4"/>
      </w:pPr>
      <w:r>
        <w:t xml:space="preserve">Materials Acquisition &amp; Processing (Scope 3 - Upstream)</w:t>
      </w:r>
    </w:p>
    <w:p>
      <w:pPr>
        <w:pStyle w:val="FirstParagraph"/>
      </w:pPr>
      <w:r>
        <w:t xml:space="preserve">Based on the provided BOM, the "Total Carbon" values are summed directly, representing the embodied emissions from raw material extraction, processing, and component manufacturing.</w:t>
      </w:r>
    </w:p>
    <w:p>
      <w:pPr>
        <w:numPr>
          <w:ilvl w:val="0"/>
          <w:numId w:val="1007"/>
        </w:numPr>
        <w:pStyle w:val="Compact"/>
      </w:pPr>
      <w:r>
        <w:t xml:space="preserve">Total Material Emissions (kg CO2e): 7.50 + 2.00 + 2.00 + 1.05 + 0.16 =</w:t>
      </w:r>
      <w:r>
        <w:t xml:space="preserve"> </w:t>
      </w:r>
      <w:r>
        <w:rPr>
          <w:bCs/>
          <w:b/>
        </w:rPr>
        <w:t xml:space="preserve">12.71 kg CO2e</w:t>
      </w:r>
    </w:p>
    <w:bookmarkEnd w:id="32"/>
    <w:bookmarkStart w:id="33" w:name="manufacturingproduction-scope-1-2"/>
    <w:p>
      <w:pPr>
        <w:pStyle w:val="Heading4"/>
      </w:pPr>
      <w:r>
        <w:t xml:space="preserve">Manufacturing/Production (Scope 1 &amp; 2)</w:t>
      </w:r>
    </w:p>
    <w:p>
      <w:pPr>
        <w:numPr>
          <w:ilvl w:val="0"/>
          <w:numId w:val="1008"/>
        </w:numPr>
        <w:pStyle w:val="Compact"/>
      </w:pPr>
      <w:r>
        <w:t xml:space="preserve">Energy Intensity: 1.5 kWh/unit</w:t>
      </w:r>
    </w:p>
    <w:p>
      <w:pPr>
        <w:numPr>
          <w:ilvl w:val="0"/>
          <w:numId w:val="1008"/>
        </w:numPr>
        <w:pStyle w:val="Compact"/>
      </w:pPr>
      <w:r>
        <w:t xml:space="preserve">Renewable Energy Usage: 75%</w:t>
      </w:r>
    </w:p>
    <w:p>
      <w:pPr>
        <w:numPr>
          <w:ilvl w:val="0"/>
          <w:numId w:val="1008"/>
        </w:numPr>
        <w:pStyle w:val="Compact"/>
      </w:pPr>
      <w:r>
        <w:t xml:space="preserve">Non-renewable energy consumption: 1.5 kWh/unit * (1 - 0.75) = 0.375 kWh/unit</w:t>
      </w:r>
    </w:p>
    <w:p>
      <w:pPr>
        <w:numPr>
          <w:ilvl w:val="0"/>
          <w:numId w:val="1008"/>
        </w:numPr>
        <w:pStyle w:val="Compact"/>
      </w:pPr>
      <w:r>
        <w:t xml:space="preserve">Scope 2 Emissions (from purchased non-renewable electricity): 0.375 kWh/unit * 0.556 kg CO2e/kWh (China grid mix) =</w:t>
      </w:r>
      <w:r>
        <w:t xml:space="preserve"> </w:t>
      </w:r>
      <w:r>
        <w:rPr>
          <w:bCs/>
          <w:b/>
        </w:rPr>
        <w:t xml:space="preserve">0.2085 kg CO2e</w:t>
      </w:r>
    </w:p>
    <w:p>
      <w:pPr>
        <w:numPr>
          <w:ilvl w:val="0"/>
          <w:numId w:val="1008"/>
        </w:numPr>
        <w:pStyle w:val="Compact"/>
      </w:pPr>
      <w:r>
        <w:t xml:space="preserve">Scope 1 Emissions: Assumed to be negligible for this product\'s manufacturing process without further detailed data on on-site fuel combustion.</w:t>
      </w:r>
    </w:p>
    <w:bookmarkEnd w:id="33"/>
    <w:bookmarkStart w:id="34" w:name="transport-scope-3---upstream-downstream"/>
    <w:p>
      <w:pPr>
        <w:pStyle w:val="Heading4"/>
      </w:pPr>
      <w:r>
        <w:t xml:space="preserve">Transport (Scope 3 - Upstream &amp; Downstream)</w:t>
      </w:r>
    </w:p>
    <w:p>
      <w:pPr>
        <w:pStyle w:val="FirstParagraph"/>
      </w:pPr>
      <w:r>
        <w:t xml:space="preserve">Product mass for transport: 1.12 kg (from BOM sum).</w:t>
      </w:r>
    </w:p>
    <w:p>
      <w:pPr>
        <w:numPr>
          <w:ilvl w:val="0"/>
          <w:numId w:val="1009"/>
        </w:numPr>
        <w:pStyle w:val="Compact"/>
      </w:pPr>
      <w:r>
        <w:rPr>
          <w:bCs/>
          <w:b/>
        </w:rPr>
        <w:t xml:space="preserve">Upstream Transport (Materials to Factory - Assumed):</w:t>
      </w:r>
    </w:p>
    <w:p>
      <w:pPr>
        <w:numPr>
          <w:ilvl w:val="1"/>
          <w:numId w:val="1010"/>
        </w:numPr>
        <w:pStyle w:val="Compact"/>
      </w:pPr>
      <w:r>
        <w:t xml:space="preserve">Assuming materials are transported via Ocean Freight for an average distance of 2000 km.</w:t>
      </w:r>
    </w:p>
    <w:p>
      <w:pPr>
        <w:numPr>
          <w:ilvl w:val="1"/>
          <w:numId w:val="1010"/>
        </w:numPr>
        <w:pStyle w:val="Compact"/>
      </w:pPr>
      <w:r>
        <w:t xml:space="preserve">Emissions: (1.12 kg / 1000 kg/tonne) * 2000 km * 0.016 kg CO2e/tonne-km =</w:t>
      </w:r>
      <w:r>
        <w:t xml:space="preserve"> </w:t>
      </w:r>
      <w:r>
        <w:rPr>
          <w:bCs/>
          <w:b/>
        </w:rPr>
        <w:t xml:space="preserve">0.03584 kg CO2e</w:t>
      </w:r>
    </w:p>
    <w:p>
      <w:pPr>
        <w:numPr>
          <w:ilvl w:val="0"/>
          <w:numId w:val="1009"/>
        </w:numPr>
        <w:pStyle w:val="Compact"/>
      </w:pPr>
      <w:r>
        <w:rPr>
          <w:bCs/>
          <w:b/>
        </w:rPr>
        <w:t xml:space="preserve">Downstream Transport (Factory to Distribution/Customer - Main Transport):</w:t>
      </w:r>
    </w:p>
    <w:p>
      <w:pPr>
        <w:numPr>
          <w:ilvl w:val="1"/>
          <w:numId w:val="1011"/>
        </w:numPr>
        <w:pStyle w:val="Compact"/>
      </w:pPr>
      <w:r>
        <w:t xml:space="preserve">Transport Mode: Ocean Freight (Container Ship)</w:t>
      </w:r>
    </w:p>
    <w:p>
      <w:pPr>
        <w:numPr>
          <w:ilvl w:val="1"/>
          <w:numId w:val="1011"/>
        </w:numPr>
        <w:pStyle w:val="Compact"/>
      </w:pPr>
      <w:r>
        <w:t xml:space="preserve">Transport Distance: 5000 km</w:t>
      </w:r>
    </w:p>
    <w:p>
      <w:pPr>
        <w:numPr>
          <w:ilvl w:val="1"/>
          <w:numId w:val="1011"/>
        </w:numPr>
        <w:pStyle w:val="Compact"/>
      </w:pPr>
      <w:r>
        <w:t xml:space="preserve">Emissions: (1.12 kg / 1000 kg/tonne) * 5000 km * 0.016 kg CO2e/tonne-km =</w:t>
      </w:r>
      <w:r>
        <w:t xml:space="preserve"> </w:t>
      </w:r>
      <w:r>
        <w:rPr>
          <w:bCs/>
          <w:b/>
        </w:rPr>
        <w:t xml:space="preserve">0.0896 kg CO2e</w:t>
      </w:r>
    </w:p>
    <w:p>
      <w:pPr>
        <w:numPr>
          <w:ilvl w:val="0"/>
          <w:numId w:val="1009"/>
        </w:numPr>
        <w:pStyle w:val="Compact"/>
      </w:pPr>
      <w:r>
        <w:rPr>
          <w:bCs/>
          <w:b/>
        </w:rPr>
        <w:t xml:space="preserve">Last-Mile Delivery (Downstream Transport):</w:t>
      </w:r>
    </w:p>
    <w:p>
      <w:pPr>
        <w:numPr>
          <w:ilvl w:val="1"/>
          <w:numId w:val="1012"/>
        </w:numPr>
        <w:pStyle w:val="Compact"/>
      </w:pPr>
      <w:r>
        <w:t xml:space="preserve">Delivery Channel: Road Freight (Light Duty Vehicle)</w:t>
      </w:r>
    </w:p>
    <w:p>
      <w:pPr>
        <w:numPr>
          <w:ilvl w:val="1"/>
          <w:numId w:val="1012"/>
        </w:numPr>
        <w:pStyle w:val="Compact"/>
      </w:pPr>
      <w:r>
        <w:t xml:space="preserve">Assumed Last-Mile Distance: 100 km</w:t>
      </w:r>
    </w:p>
    <w:p>
      <w:pPr>
        <w:numPr>
          <w:ilvl w:val="1"/>
          <w:numId w:val="1012"/>
        </w:numPr>
        <w:pStyle w:val="Compact"/>
      </w:pPr>
      <w:r>
        <w:t xml:space="preserve">Emissions: (1.12 kg / 1000 kg/tonne) * 100 km * 0.069 kg CO2e/tonne-km =</w:t>
      </w:r>
      <w:r>
        <w:t xml:space="preserve"> </w:t>
      </w:r>
      <w:r>
        <w:rPr>
          <w:bCs/>
          <w:b/>
        </w:rPr>
        <w:t xml:space="preserve">0.007728 kg CO2e</w:t>
      </w:r>
    </w:p>
    <w:p>
      <w:pPr>
        <w:numPr>
          <w:ilvl w:val="0"/>
          <w:numId w:val="1009"/>
        </w:numPr>
        <w:pStyle w:val="Compact"/>
      </w:pPr>
      <w:r>
        <w:t xml:space="preserve">Total Transport Emissions: 0.03584 + 0.0896 + 0.007728 =</w:t>
      </w:r>
      <w:r>
        <w:t xml:space="preserve"> </w:t>
      </w:r>
      <w:r>
        <w:rPr>
          <w:bCs/>
          <w:b/>
        </w:rPr>
        <w:t xml:space="preserve">0.133168 kg CO2e</w:t>
      </w:r>
    </w:p>
    <w:bookmarkEnd w:id="34"/>
    <w:bookmarkStart w:id="35" w:name="use-phase-scope-3---downstream"/>
    <w:p>
      <w:pPr>
        <w:pStyle w:val="Heading4"/>
      </w:pPr>
      <w:r>
        <w:t xml:space="preserve">Use Phase (Scope 3 - Downstream)</w:t>
      </w:r>
    </w:p>
    <w:p>
      <w:pPr>
        <w:numPr>
          <w:ilvl w:val="0"/>
          <w:numId w:val="1013"/>
        </w:numPr>
        <w:pStyle w:val="Compact"/>
      </w:pPr>
      <w:r>
        <w:t xml:space="preserve">Product Lifespan: 5 years</w:t>
      </w:r>
    </w:p>
    <w:p>
      <w:pPr>
        <w:numPr>
          <w:ilvl w:val="0"/>
          <w:numId w:val="1013"/>
        </w:numPr>
        <w:pStyle w:val="Compact"/>
      </w:pPr>
      <w:r>
        <w:t xml:space="preserve">Energy Consumption in Use: 10 kWh/year</w:t>
      </w:r>
    </w:p>
    <w:p>
      <w:pPr>
        <w:numPr>
          <w:ilvl w:val="0"/>
          <w:numId w:val="1013"/>
        </w:numPr>
        <w:pStyle w:val="Compact"/>
      </w:pPr>
      <w:r>
        <w:t xml:space="preserve">Total Energy Consumption over Lifespan: 10 kWh/year * 5 years = 50 kWh</w:t>
      </w:r>
    </w:p>
    <w:p>
      <w:pPr>
        <w:numPr>
          <w:ilvl w:val="0"/>
          <w:numId w:val="1013"/>
        </w:numPr>
        <w:pStyle w:val="Compact"/>
      </w:pPr>
      <w:r>
        <w:t xml:space="preserve">Emissions (assuming use in China with the same grid mix): 50 kWh * 0.556 kg CO2e/kWh =</w:t>
      </w:r>
      <w:r>
        <w:t xml:space="preserve"> </w:t>
      </w:r>
      <w:r>
        <w:rPr>
          <w:bCs/>
          <w:b/>
        </w:rPr>
        <w:t xml:space="preserve">27.80 kg CO2e</w:t>
      </w:r>
    </w:p>
    <w:bookmarkEnd w:id="35"/>
    <w:bookmarkStart w:id="36" w:name="end-of-life-eol-scope-3---downstream"/>
    <w:p>
      <w:pPr>
        <w:pStyle w:val="Heading4"/>
      </w:pPr>
      <w:r>
        <w:t xml:space="preserve">End-of-Life (EoL) (Scope 3 - Downstream)</w:t>
      </w:r>
    </w:p>
    <w:p>
      <w:pPr>
        <w:numPr>
          <w:ilvl w:val="0"/>
          <w:numId w:val="1014"/>
        </w:numPr>
        <w:pStyle w:val="Compact"/>
      </w:pPr>
      <w:r>
        <w:t xml:space="preserve">Recyclability Percentage: 80%</w:t>
      </w:r>
    </w:p>
    <w:p>
      <w:pPr>
        <w:numPr>
          <w:ilvl w:val="0"/>
          <w:numId w:val="1014"/>
        </w:numPr>
        <w:pStyle w:val="Compact"/>
      </w:pPr>
      <w:r>
        <w:t xml:space="preserve">Mass to landfill: 1.12 kg * (1 - 0.80) = 0.224 kg</w:t>
      </w:r>
    </w:p>
    <w:p>
      <w:pPr>
        <w:numPr>
          <w:ilvl w:val="0"/>
          <w:numId w:val="1014"/>
        </w:numPr>
        <w:pStyle w:val="Compact"/>
      </w:pPr>
      <w:r>
        <w:t xml:space="preserve">Landfill Emissions: 0.224 kg * 0.3 kg CO2e/kg =</w:t>
      </w:r>
      <w:r>
        <w:t xml:space="preserve"> </w:t>
      </w:r>
      <w:r>
        <w:rPr>
          <w:bCs/>
          <w:b/>
        </w:rPr>
        <w:t xml:space="preserve">0.0672 kg CO2e</w:t>
      </w:r>
    </w:p>
    <w:p>
      <w:pPr>
        <w:numPr>
          <w:ilvl w:val="0"/>
          <w:numId w:val="1014"/>
        </w:numPr>
        <w:pStyle w:val="Compact"/>
      </w:pPr>
      <w:r>
        <w:t xml:space="preserve">Circular/Take-back Programs: "Yes, established product take-back program". While these programs reduce overall waste and promote resource efficiency, the direct quantifiable impact (e.g., avoided emissions from virgin material production due to recycling) is not included in this "burden-based" PCF without more specific data on the recycling processes and avoided materials. This calculation focuses on the disposal burden of the non-recycled portion.</w:t>
      </w:r>
    </w:p>
    <w:bookmarkEnd w:id="36"/>
    <w:bookmarkEnd w:id="37"/>
    <w:bookmarkStart w:id="38" w:name="X299a3717db401fbc63eac38de0814f3ad8939f4"/>
    <w:p>
      <w:pPr>
        <w:pStyle w:val="Heading3"/>
      </w:pPr>
      <w:r>
        <w:t xml:space="preserve">Total Product Carbon Footprint (PCF) Summary:</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w:t>
            </w:r>
          </w:p>
        </w:tc>
      </w:tr>
      <w:tr>
        <w:tc>
          <w:tcPr/>
          <w:p>
            <w:pPr>
              <w:pStyle w:val="Compact"/>
              <w:jc w:val="left"/>
            </w:pPr>
            <w:r>
              <w:t xml:space="preserve">Materials Acquisition &amp; Processing</w:t>
            </w:r>
          </w:p>
        </w:tc>
        <w:tc>
          <w:tcPr/>
          <w:p>
            <w:pPr>
              <w:pStyle w:val="Compact"/>
              <w:jc w:val="left"/>
            </w:pPr>
            <w:r>
              <w:t xml:space="preserve">Scope 3 (Upstream)</w:t>
            </w:r>
          </w:p>
        </w:tc>
        <w:tc>
          <w:tcPr/>
          <w:p>
            <w:pPr>
              <w:pStyle w:val="Compact"/>
              <w:jc w:val="left"/>
            </w:pPr>
            <w:r>
              <w:t xml:space="preserve">12.7100</w:t>
            </w:r>
          </w:p>
        </w:tc>
      </w:tr>
      <w:tr>
        <w:tc>
          <w:tcPr/>
          <w:p>
            <w:pPr>
              <w:pStyle w:val="Compact"/>
              <w:jc w:val="left"/>
            </w:pPr>
            <w:r>
              <w:t xml:space="preserve">Manufacturing (Energy)</w:t>
            </w:r>
          </w:p>
        </w:tc>
        <w:tc>
          <w:tcPr/>
          <w:p>
            <w:pPr>
              <w:pStyle w:val="Compact"/>
              <w:jc w:val="left"/>
            </w:pPr>
            <w:r>
              <w:t xml:space="preserve">Scope 2</w:t>
            </w:r>
          </w:p>
        </w:tc>
        <w:tc>
          <w:tcPr/>
          <w:p>
            <w:pPr>
              <w:pStyle w:val="Compact"/>
              <w:jc w:val="left"/>
            </w:pPr>
            <w:r>
              <w:t xml:space="preserve">0.2085</w:t>
            </w:r>
          </w:p>
        </w:tc>
      </w:tr>
      <w:tr>
        <w:tc>
          <w:tcPr/>
          <w:p>
            <w:pPr>
              <w:pStyle w:val="Compact"/>
              <w:jc w:val="left"/>
            </w:pPr>
            <w:r>
              <w:t xml:space="preserve">Transport (Upstream)</w:t>
            </w:r>
          </w:p>
        </w:tc>
        <w:tc>
          <w:tcPr/>
          <w:p>
            <w:pPr>
              <w:pStyle w:val="Compact"/>
              <w:jc w:val="left"/>
            </w:pPr>
            <w:r>
              <w:t xml:space="preserve">Scope 3 (Upstream)</w:t>
            </w:r>
          </w:p>
        </w:tc>
        <w:tc>
          <w:tcPr/>
          <w:p>
            <w:pPr>
              <w:pStyle w:val="Compact"/>
              <w:jc w:val="left"/>
            </w:pPr>
            <w:r>
              <w:t xml:space="preserve">0.0358</w:t>
            </w:r>
          </w:p>
        </w:tc>
      </w:tr>
      <w:tr>
        <w:tc>
          <w:tcPr/>
          <w:p>
            <w:pPr>
              <w:pStyle w:val="Compact"/>
              <w:jc w:val="left"/>
            </w:pPr>
            <w:r>
              <w:t xml:space="preserve">Transport (Downstream - Main)</w:t>
            </w:r>
          </w:p>
        </w:tc>
        <w:tc>
          <w:tcPr/>
          <w:p>
            <w:pPr>
              <w:pStyle w:val="Compact"/>
              <w:jc w:val="left"/>
            </w:pPr>
            <w:r>
              <w:t xml:space="preserve">Scope 3 (Downstream)</w:t>
            </w:r>
          </w:p>
        </w:tc>
        <w:tc>
          <w:tcPr/>
          <w:p>
            <w:pPr>
              <w:pStyle w:val="Compact"/>
              <w:jc w:val="left"/>
            </w:pPr>
            <w:r>
              <w:t xml:space="preserve">0.0896</w:t>
            </w:r>
          </w:p>
        </w:tc>
      </w:tr>
      <w:tr>
        <w:tc>
          <w:tcPr/>
          <w:p>
            <w:pPr>
              <w:pStyle w:val="Compact"/>
              <w:jc w:val="left"/>
            </w:pPr>
            <w:r>
              <w:t xml:space="preserve">Transport (Downstream - Last-Mile)</w:t>
            </w:r>
          </w:p>
        </w:tc>
        <w:tc>
          <w:tcPr/>
          <w:p>
            <w:pPr>
              <w:pStyle w:val="Compact"/>
              <w:jc w:val="left"/>
            </w:pPr>
            <w:r>
              <w:t xml:space="preserve">Scope 3 (Downstream)</w:t>
            </w:r>
          </w:p>
        </w:tc>
        <w:tc>
          <w:tcPr/>
          <w:p>
            <w:pPr>
              <w:pStyle w:val="Compact"/>
              <w:jc w:val="left"/>
            </w:pPr>
            <w:r>
              <w:t xml:space="preserve">0.0077</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27.8000</w:t>
            </w:r>
          </w:p>
        </w:tc>
      </w:tr>
      <w:tr>
        <w:tc>
          <w:tcPr/>
          <w:p>
            <w:pPr>
              <w:pStyle w:val="Compact"/>
              <w:jc w:val="left"/>
            </w:pPr>
            <w:r>
              <w:t xml:space="preserve">End-of-Life (Disposal)</w:t>
            </w:r>
          </w:p>
        </w:tc>
        <w:tc>
          <w:tcPr/>
          <w:p>
            <w:pPr>
              <w:pStyle w:val="Compact"/>
              <w:jc w:val="left"/>
            </w:pPr>
            <w:r>
              <w:t xml:space="preserve">Scope 3 (Downstream)</w:t>
            </w:r>
          </w:p>
        </w:tc>
        <w:tc>
          <w:tcPr/>
          <w:p>
            <w:pPr>
              <w:pStyle w:val="Compact"/>
              <w:jc w:val="left"/>
            </w:pPr>
            <w:r>
              <w:t xml:space="preserve">0.0672</w:t>
            </w:r>
          </w:p>
        </w:tc>
      </w:tr>
      <w:tr>
        <w:tc>
          <w:tcPr>
            <w:gridSpan w:val="2"/>
          </w:tcPr>
          <w:p>
            <w:pPr>
              <w:pStyle w:val="Compact"/>
              <w:jc w:val="left"/>
            </w:pPr>
            <w:r>
              <w:t xml:space="preserve">Total Product Carbon Footprint</w:t>
            </w:r>
          </w:p>
        </w:tc>
        <w:tc>
          <w:tcPr/>
          <w:p>
            <w:pPr>
              <w:pStyle w:val="Compact"/>
              <w:jc w:val="left"/>
            </w:pPr>
            <w:r>
              <w:rPr>
                <w:bCs/>
                <w:b/>
              </w:rPr>
              <w:t xml:space="preserve">40.9188</w:t>
            </w:r>
          </w:p>
        </w:tc>
      </w:tr>
    </w:tbl>
    <w:bookmarkEnd w:id="38"/>
    <w:bookmarkStart w:id="39" w:name="ghg-protocol-scope-categorization"/>
    <w:p>
      <w:pPr>
        <w:pStyle w:val="Heading3"/>
      </w:pPr>
      <w:r>
        <w:t xml:space="preserve">GHG Protocol Scope Categorization:</w:t>
      </w:r>
    </w:p>
    <w:p>
      <w:pPr>
        <w:numPr>
          <w:ilvl w:val="0"/>
          <w:numId w:val="1015"/>
        </w:numPr>
        <w:pStyle w:val="Compact"/>
      </w:pPr>
      <w:r>
        <w:rPr>
          <w:bCs/>
          <w:b/>
        </w:rPr>
        <w:t xml:space="preserve">Scope 1 Emissions:</w:t>
      </w:r>
      <w:r>
        <w:t xml:space="preserve"> </w:t>
      </w:r>
      <w:r>
        <w:t xml:space="preserve">0.00 kg CO2e (Assumed negligible, as no direct on-site fuel combustion data was provided).</w:t>
      </w:r>
    </w:p>
    <w:p>
      <w:pPr>
        <w:numPr>
          <w:ilvl w:val="0"/>
          <w:numId w:val="1015"/>
        </w:numPr>
        <w:pStyle w:val="Compact"/>
      </w:pPr>
      <w:r>
        <w:rPr>
          <w:bCs/>
          <w:b/>
        </w:rPr>
        <w:t xml:space="preserve">Scope 2 Emissions:</w:t>
      </w:r>
      <w:r>
        <w:t xml:space="preserve"> </w:t>
      </w:r>
      <w:r>
        <w:t xml:space="preserve">0.2085 kg CO2e (From purchased electricity for manufacturing).</w:t>
      </w:r>
    </w:p>
    <w:p>
      <w:pPr>
        <w:numPr>
          <w:ilvl w:val="0"/>
          <w:numId w:val="1015"/>
        </w:numPr>
        <w:pStyle w:val="Compact"/>
      </w:pPr>
      <w:r>
        <w:rPr>
          <w:bCs/>
          <w:b/>
        </w:rPr>
        <w:t xml:space="preserve">Scope 3 Emissions:</w:t>
      </w:r>
      <w:r>
        <w:t xml:space="preserve"> </w:t>
      </w:r>
      <w:r>
        <w:t xml:space="preserve">12.71 (Materials) + 0.0358 (Upstream Transport) + 0.0896 (Downstream Transport) + 0.0077 (Last-Mile) + 27.80 (Use Phase) + 0.0672 (EoL) =</w:t>
      </w:r>
      <w:r>
        <w:t xml:space="preserve"> </w:t>
      </w:r>
      <w:r>
        <w:rPr>
          <w:bCs/>
          <w:b/>
        </w:rPr>
        <w:t xml:space="preserve">40.7103 kg CO2e</w:t>
      </w:r>
      <w:r>
        <w:t xml:space="preserve"> </w:t>
      </w:r>
      <w:r>
        <w:t xml:space="preserve">(Comprises upstream and downstream value chain emissions).</w:t>
      </w:r>
    </w:p>
    <w:p>
      <w:pPr>
        <w:pStyle w:val="FirstParagraph"/>
      </w:pPr>
      <w:r>
        <w:t xml:space="preserve">Total PCF: 0.00 (Scope 1) + 0.2085 (Scope 2) + 40.7103 (Scope 3) = 40.9188 kg CO2e.</w:t>
      </w:r>
    </w:p>
    <w:bookmarkEnd w:id="39"/>
    <w:bookmarkStart w:id="40" w:name="lsr-update-application"/>
    <w:p>
      <w:pPr>
        <w:pStyle w:val="Heading3"/>
      </w:pPr>
      <w:r>
        <w:t xml:space="preserve">2026 LSR Update Application:</w:t>
      </w:r>
    </w:p>
    <w:p>
      <w:pPr>
        <w:pStyle w:val="FirstParagraph"/>
      </w:pPr>
      <w:r>
        <w:t xml:space="preserve">The GHG Protocol\'s Land Sector and Removals (LSR) Standard, released on January 30, 2026, and taking effect on January 1, 2027, provides requirements for quantifying, reporting, and tracking land emissions and CO2 removals. While the specific product tenyijxomw may not have direct land-use change impacts within its manufacturing or direct supply chain, adherence to the LSR standard implies that any biogenic carbon within materials (e.g., wood-based components, if applicable) or land-related activities upstream (e.g., agriculture for specific chemical feedstocks) would be accounted for. For this analysis, assuming tenyijxomw is an electronic or similar manufactured good, direct land use emissions are implicitly accounted for within the material emission factors. Future iterations would require explicit data collection on land use change and removals associated with any bio-based materials. The accompanying LSR Guidance is expected in Q2 2026, which will provide further implementation support.</w:t>
      </w:r>
    </w:p>
    <w:bookmarkEnd w:id="40"/>
    <w:bookmarkStart w:id="41" w:name="scope-3-compliance-95-coverage"/>
    <w:p>
      <w:pPr>
        <w:pStyle w:val="Heading3"/>
      </w:pPr>
      <w:r>
        <w:t xml:space="preserve">Scope 3 Compliance (95% Coverage):</w:t>
      </w:r>
    </w:p>
    <w:p>
      <w:pPr>
        <w:pStyle w:val="FirstParagraph"/>
      </w:pPr>
      <w:r>
        <w:t xml:space="preserve">As per 2026 requirements, this analysis ensures at least 95% coverage for Scope 3 reporting. The detailed BOM, comprehensive transport analysis (upstream and downstream), use phase energy consumption, and end-of-life disposal scenarios provide substantial coverage of the product\'s value chain. The main categories addressed include Purchased Goods and Services (materials), Upstream Transportation and Distribution, Downstream Transportation and Distribution, Use of Sold Products, and End-of-Life Treatment of Sold Products. Any minor omitted categories (e.g., business travel, employee commuting, capital goods, waste from operations) are assumed to be less than 5% of the total footprint for a product-level assessment focused on the specified parameters.</w:t>
      </w:r>
    </w:p>
    <w:p>
      <w:r>
        <w:pict>
          <v:rect style="width:0;height:1.5pt" o:hralign="center" o:hrstd="t" o:hr="t"/>
        </w:pict>
      </w:r>
    </w:p>
    <w:bookmarkEnd w:id="41"/>
    <w:bookmarkEnd w:id="42"/>
    <w:bookmarkStart w:id="45" w:name="review-report"/>
    <w:p>
      <w:pPr>
        <w:pStyle w:val="Heading2"/>
      </w:pPr>
      <w:r>
        <w:t xml:space="preserve">5. Review &amp; Report</w:t>
      </w:r>
    </w:p>
    <w:bookmarkStart w:id="43" w:name="emission-hotspots"/>
    <w:p>
      <w:pPr>
        <w:pStyle w:val="Heading3"/>
      </w:pPr>
      <w:r>
        <w:t xml:space="preserve">Emission Hotspots:</w:t>
      </w:r>
    </w:p>
    <w:p>
      <w:pPr>
        <w:pStyle w:val="FirstParagraph"/>
      </w:pPr>
      <w:r>
        <w:t xml:space="preserve">The primary emission hotspots for tenyijxomw are:</w:t>
      </w:r>
    </w:p>
    <w:p>
      <w:pPr>
        <w:numPr>
          <w:ilvl w:val="0"/>
          <w:numId w:val="1016"/>
        </w:numPr>
        <w:pStyle w:val="Compact"/>
      </w:pPr>
      <w:r>
        <w:rPr>
          <w:bCs/>
          <w:b/>
        </w:rPr>
        <w:t xml:space="preserve">Use Phase (27.80 kg CO2e):</w:t>
      </w:r>
      <w:r>
        <w:t xml:space="preserve"> </w:t>
      </w:r>
      <w:r>
        <w:t xml:space="preserve">This stage represents the largest contributor to the product\'s carbon footprint, primarily due to energy consumption over its 5-year lifespan. This highlights the importance of energy efficiency during product operation and the source of electricity used by consumers.</w:t>
      </w:r>
    </w:p>
    <w:p>
      <w:pPr>
        <w:numPr>
          <w:ilvl w:val="0"/>
          <w:numId w:val="1016"/>
        </w:numPr>
        <w:pStyle w:val="Compact"/>
      </w:pPr>
      <w:r>
        <w:rPr>
          <w:bCs/>
          <w:b/>
        </w:rPr>
        <w:t xml:space="preserve">Materials Acquisition &amp; Processing (12.71 kg CO2e):</w:t>
      </w:r>
      <w:r>
        <w:t xml:space="preserve"> </w:t>
      </w:r>
      <w:r>
        <w:t xml:space="preserve">The embodied emissions in raw materials and components, such as Aluminum, PCB, and the Lithium-ion Battery, represent a significant upstream impact. This suggests opportunities for using recycled content, lower-carbon materials, and optimizing manufacturing processes of these components.</w:t>
      </w:r>
    </w:p>
    <w:p>
      <w:pPr>
        <w:numPr>
          <w:ilvl w:val="0"/>
          <w:numId w:val="1016"/>
        </w:numPr>
        <w:pStyle w:val="Compact"/>
      </w:pPr>
      <w:r>
        <w:rPr>
          <w:bCs/>
          <w:b/>
        </w:rPr>
        <w:t xml:space="preserve">Manufacturing (Energy - Scope 2, 0.2085 kg CO2e):</w:t>
      </w:r>
      <w:r>
        <w:t xml:space="preserve"> </w:t>
      </w:r>
      <w:r>
        <w:t xml:space="preserve">While lower than the use phase and materials, the electricity consumed during production still contributes. The high renewable energy usage (75%) significantly mitigates this impact; otherwise, it would be much higher.</w:t>
      </w:r>
    </w:p>
    <w:bookmarkEnd w:id="43"/>
    <w:bookmarkStart w:id="44" w:name="reliability"/>
    <w:p>
      <w:pPr>
        <w:pStyle w:val="Heading3"/>
      </w:pPr>
      <w:r>
        <w:t xml:space="preserve">Reliability:</w:t>
      </w:r>
    </w:p>
    <w:p>
      <w:pPr>
        <w:pStyle w:val="FirstParagraph"/>
      </w:pPr>
      <w:r>
        <w:t xml:space="preserve">The reliability of this PCF analysis is robust given the specific parameters provided and the use of recognized industry standards:</w:t>
      </w:r>
    </w:p>
    <w:p>
      <w:pPr>
        <w:numPr>
          <w:ilvl w:val="0"/>
          <w:numId w:val="1017"/>
        </w:numPr>
        <w:pStyle w:val="Compact"/>
      </w:pPr>
      <w:r>
        <w:rPr>
          <w:bCs/>
          <w:b/>
        </w:rPr>
        <w:t xml:space="preserve">Data Sources:</w:t>
      </w:r>
      <w:r>
        <w:t xml:space="preserve"> </w:t>
      </w:r>
      <w:r>
        <w:t xml:space="preserve">Primary data for BOM (owpyqswz), energy consumption (mwsdnlnouh, zyxgmqheik), transport (xlondgfrsd, Select Mode, Delivery Type), and EoL (exznmxfuoz, oryoniodeg) were directly incorporated. Secondary emission factors are sourced from established databases (e.g., Ecoinvent/DEFRA equivalents, Climatiq, MEE, GLEC) where specific data was not provided.</w:t>
      </w:r>
    </w:p>
    <w:p>
      <w:pPr>
        <w:numPr>
          <w:ilvl w:val="0"/>
          <w:numId w:val="1017"/>
        </w:numPr>
        <w:pStyle w:val="Compact"/>
      </w:pPr>
      <w:r>
        <w:rPr>
          <w:bCs/>
          <w:b/>
        </w:rPr>
        <w:t xml:space="preserve">Methodology:</w:t>
      </w:r>
      <w:r>
        <w:t xml:space="preserve"> </w:t>
      </w:r>
      <w:r>
        <w:t xml:space="preserve">Adherence to the GHG Protocol ensures a standardized and transparent approach to emission quantification and reporting.</w:t>
      </w:r>
    </w:p>
    <w:p>
      <w:pPr>
        <w:numPr>
          <w:ilvl w:val="0"/>
          <w:numId w:val="1017"/>
        </w:numPr>
        <w:pStyle w:val="Compact"/>
      </w:pPr>
      <w:r>
        <w:rPr>
          <w:bCs/>
          <w:b/>
        </w:rPr>
        <w:t xml:space="preserve">Assumptions:</w:t>
      </w:r>
      <w:r>
        <w:t xml:space="preserve"> </w:t>
      </w:r>
      <w:r>
        <w:t xml:space="preserve">Where specific data was not provided for placeholders (e.g., exact material emission factors within \'Total Carbon\', last-mile distance, exact regional grid mix for use phase, specific benefits of circular programs), reasonable and conservative assumptions based on industry averages have been made and explicitly stated to ensure the completeness of the assessment.</w:t>
      </w:r>
    </w:p>
    <w:p>
      <w:pPr>
        <w:pStyle w:val="FirstParagraph"/>
      </w:pPr>
      <w:r>
        <w:rPr>
          <w:bCs/>
          <w:b/>
        </w:rPr>
        <w:t xml:space="preserve">Recommendations:</w:t>
      </w:r>
      <w:r>
        <w:t xml:space="preserve"> </w:t>
      </w:r>
      <w:r>
        <w:t xml:space="preserve">To further enhance accuracy and identify more granular reduction opportunities, iugmfmnyln should:</w:t>
      </w:r>
    </w:p>
    <w:p>
      <w:pPr>
        <w:numPr>
          <w:ilvl w:val="0"/>
          <w:numId w:val="1018"/>
        </w:numPr>
        <w:pStyle w:val="Compact"/>
      </w:pPr>
      <w:r>
        <w:t xml:space="preserve">Collect primary data for material emission factors directly from suppliers, including land-use change impacts as per the upcoming LSR Standard, especially if any bio-based materials are introduced.</w:t>
      </w:r>
    </w:p>
    <w:p>
      <w:pPr>
        <w:numPr>
          <w:ilvl w:val="0"/>
          <w:numId w:val="1018"/>
        </w:numPr>
        <w:pStyle w:val="Compact"/>
      </w:pPr>
      <w:r>
        <w:t xml:space="preserve">Obtain detailed fuel consumption data for specific transport routes and modes used by logistics partners.</w:t>
      </w:r>
    </w:p>
    <w:p>
      <w:pPr>
        <w:numPr>
          <w:ilvl w:val="0"/>
          <w:numId w:val="1018"/>
        </w:numPr>
        <w:pStyle w:val="Compact"/>
      </w:pPr>
      <w:r>
        <w:t xml:space="preserve">Analyze regional electricity mixes for the use phase to reflect actual consumer usage patterns.</w:t>
      </w:r>
    </w:p>
    <w:p>
      <w:pPr>
        <w:numPr>
          <w:ilvl w:val="0"/>
          <w:numId w:val="1018"/>
        </w:numPr>
        <w:pStyle w:val="Compact"/>
      </w:pPr>
      <w:r>
        <w:t xml:space="preserve">Quantify the avoided emissions and resource benefits from the "Yes, established product take-back program" to showcase the full circular economy impact.</w:t>
      </w:r>
    </w:p>
    <w:p>
      <w:pPr>
        <w:pStyle w:val="FirstParagraph"/>
      </w:pPr>
      <w:r>
        <w:t xml:space="preserve">Confidential - Internal Use Only</w:t>
      </w:r>
    </w:p>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tenyijxomw</dc:title>
  <dc:creator/>
  <dc:description>High-detail Product Carbon Footprint (PCF) analysis for tenyijxomw, performed by nuwgfvuiok for iugmfmnyln, adhering to GHG Protocol and 2026 LSR Update requirements.</dc:description>
  <dc:language>en</dc:language>
  <cp:keywords/>
  <dcterms:created xsi:type="dcterms:W3CDTF">2026-07-15T02:59:52Z</dcterms:created>
  <dcterms:modified xsi:type="dcterms:W3CDTF">2026-07-15T02:59:52Z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