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tedrgqeyvl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tedrgqeyvl</w:t>
      </w:r>
    </w:p>
    <w:p>
      <w:pPr>
        <w:pStyle w:val="BodyText"/>
      </w:pPr>
      <w:r>
        <w:rPr>
          <w:bCs/>
          <w:b/>
        </w:rPr>
        <w:t xml:space="preserve">Company Name:</w:t>
      </w:r>
      <w:r>
        <w:t xml:space="preserve"> </w:t>
      </w:r>
      <w:r>
        <w:t xml:space="preserve">fldehfkvde</w:t>
      </w:r>
    </w:p>
    <w:p>
      <w:pPr>
        <w:pStyle w:val="BodyText"/>
      </w:pPr>
      <w:r>
        <w:rPr>
          <w:bCs/>
          <w:b/>
        </w:rPr>
        <w:t xml:space="preserve">Senior Sustainability Consultant:</w:t>
      </w:r>
      <w:r>
        <w:t xml:space="preserve"> </w:t>
      </w:r>
      <w:r>
        <w:t xml:space="preserve">xkfsomgiop</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Actual emissions may vary.</w:t>
      </w:r>
    </w:p>
    <w:bookmarkEnd w:id="20"/>
    <w:bookmarkStart w:id="21" w:name="Xb1c5961830c0803f976b4ff253a0878f5e85322"/>
    <w:p>
      <w:pPr>
        <w:pStyle w:val="Heading1"/>
      </w:pPr>
      <w:r>
        <w:t xml:space="preserve">Product Carbon Footprint Analysis for tedrgqeyvl</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"tedrgqeyvl", manufactured by "fldehfkvde". The analysis was conducted by Senior Sustainability Consultant xkfsomgiop, adhering strictly to the GHG Protocol\'s methodologies and the latest 2026 requirements, including the Land Sector and Removals (LSR) Standard. The total estimated cradle-to-gate carbon footprint, including the use phase and end-of-life impacts, for a functional unit of 1.0 unit of tedrgqeyvl is **82.60 kg CO2e**.</w:t>
      </w:r>
    </w:p>
    <w:p>
      <w:pPr>
        <w:pStyle w:val="BodyText"/>
      </w:pPr>
      <w:r>
        <w:t xml:space="preserve">The assessment covers emissions across the product\'s entire lifecycle, from raw material acquisition and manufacturing to transportation, the use phase, and end-of-life scenarios. Key emission hotspots were identified in the use phase and raw material acquisition, with significant contributions also from transportation. Circular economy impacts, such as recyclability and take-back programs, were integrated into the end-of-life calculations, resulting in a net credit.</w:t>
      </w:r>
    </w:p>
    <w:p>
      <w:r>
        <w:pict>
          <v:rect style="width:0;height:1.5pt" o:hralign="center" o:hrstd="t" o:hr="t"/>
        </w:pict>
      </w:r>
    </w:p>
    <w:bookmarkEnd w:id="22"/>
    <w:bookmarkStart w:id="27" w:name="methodology-ghg-protocol-adherence"/>
    <w:p>
      <w:pPr>
        <w:pStyle w:val="Heading2"/>
      </w:pPr>
      <w:r>
        <w:t xml:space="preserve">1. Methodology: GHG Protocol Adherence</w:t>
      </w:r>
    </w:p>
    <w:p>
      <w:pPr>
        <w:pStyle w:val="FirstParagraph"/>
      </w:pPr>
      <w:r>
        <w:t xml:space="preserve">This Product Carbon Footprint (PCF) analysis strictly follows the five-step methodology prescribed by the GHG Protocol, ensuring comprehensive and standardized reporting of greenhouse gas (GHG) emissions associated with the product tedrgqeyvl.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the product tedrgqeyvl.</w:t>
      </w:r>
    </w:p>
    <w:p>
      <w:pPr>
        <w:numPr>
          <w:ilvl w:val="0"/>
          <w:numId w:val="1001"/>
        </w:numPr>
        <w:pStyle w:val="Compact"/>
      </w:pPr>
      <w:r>
        <w:rPr>
          <w:bCs/>
          <w:b/>
        </w:rPr>
        <w:t xml:space="preserve">System Boundary:</w:t>
      </w:r>
      <w:r>
        <w:t xml:space="preserve"> </w:t>
      </w:r>
      <w:r>
        <w:t xml:space="preserve">The system boundary for this PCF is "factory_gate", meaning it primarily covers emissions up to the point the product leaves the factory. However, as per the report requirements, the analysis extends to include the transport to customer, use phase, and end-of-life stages for a holistic view.</w:t>
      </w:r>
    </w:p>
    <w:p>
      <w:pPr>
        <w:numPr>
          <w:ilvl w:val="0"/>
          <w:numId w:val="1001"/>
        </w:numPr>
        <w:pStyle w:val="Compact"/>
      </w:pPr>
      <w:r>
        <w:rPr>
          <w:bCs/>
          <w:b/>
        </w:rPr>
        <w:t xml:space="preserve">Geographic Scope:</w:t>
      </w:r>
      <w:r>
        <w:t xml:space="preserve"> </w:t>
      </w:r>
      <w:r>
        <w:t xml:space="preserve">The final production country is China, with a supply chain focus on Europe. Use phase and End-of-Life impacts are considered globally where specific regional data is unavailable.</w:t>
      </w:r>
    </w:p>
    <w:p>
      <w:pPr>
        <w:numPr>
          <w:ilvl w:val="0"/>
          <w:numId w:val="1001"/>
        </w:numPr>
        <w:pStyle w:val="Compact"/>
      </w:pPr>
      <w:r>
        <w:rPr>
          <w:bCs/>
          <w:b/>
        </w:rPr>
        <w:t xml:space="preserve">Allocation:</w:t>
      </w:r>
      <w:r>
        <w:t xml:space="preserve"> </w:t>
      </w:r>
      <w:r>
        <w:t xml:space="preserve">Emissions are allocated directly to the functional unit (1.0 unit of tedrgqeyvl) based on mass and energy consumption attributable to the product. Where shared processes occur, appropriate allocation keys (e.g., mass-based, economic-based) are applied in line with GHG Protocol principles.</w:t>
      </w:r>
    </w:p>
    <w:p>
      <w:pPr>
        <w:numPr>
          <w:ilvl w:val="0"/>
          <w:numId w:val="1001"/>
        </w:numPr>
        <w:pStyle w:val="Compact"/>
      </w:pPr>
      <w:r>
        <w:rPr>
          <w:bCs/>
          <w:b/>
        </w:rPr>
        <w:t xml:space="preserve">Accounting Standard:</w:t>
      </w:r>
      <w:r>
        <w:t xml:space="preserve"> </w:t>
      </w:r>
      <w:r>
        <w:t xml:space="preserve">This report explicitly adheres to the **GHG Protocol**.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is applied where relevant for land use and carbon removals. While specific land use change data for raw materials were not provided, the selected emission factors are assumed to encapsulate typical land-related impacts.</w:t>
      </w:r>
    </w:p>
    <w:p>
      <w:pPr>
        <w:numPr>
          <w:ilvl w:val="0"/>
          <w:numId w:val="1001"/>
        </w:numPr>
        <w:pStyle w:val="Compact"/>
      </w:pPr>
      <w:r>
        <w:rPr>
          <w:bCs/>
          <w:b/>
        </w:rPr>
        <w:t xml:space="preserve">Scope 3 Compliance:</w:t>
      </w:r>
      <w:r>
        <w:t xml:space="preserve"> </w:t>
      </w:r>
      <w:r>
        <w:t xml:space="preserve">We ensured at least 95% coverage for Scope 3 reporting, aligning with the stringent 2026 requirements for comprehensive value chain emission accounting.</w:t>
      </w:r>
    </w:p>
    <w:bookmarkEnd w:id="23"/>
    <w:bookmarkStart w:id="24" w:name="map-lifecycle-lci-inventory-stages"/>
    <w:p>
      <w:pPr>
        <w:pStyle w:val="Heading3"/>
      </w:pPr>
      <w:r>
        <w:t xml:space="preserve">1.2. Map Lifecycle (LCI Inventory Stages)</w:t>
      </w:r>
    </w:p>
    <w:p>
      <w:pPr>
        <w:pStyle w:val="FirstParagraph"/>
      </w:pPr>
      <w:r>
        <w:t xml:space="preserve">The lifecycle of tedrgqeyvl is mapped across the following stages, with detailed inventory data collected for each:</w:t>
      </w:r>
    </w:p>
    <w:p>
      <w:pPr>
        <w:numPr>
          <w:ilvl w:val="0"/>
          <w:numId w:val="1002"/>
        </w:numPr>
        <w:pStyle w:val="Compact"/>
      </w:pPr>
      <w:r>
        <w:rPr>
          <w:bCs/>
          <w:b/>
        </w:rPr>
        <w:t xml:space="preserve">Raw Material Acquisition &amp; Pre-processing:</w:t>
      </w:r>
      <w:r>
        <w:t xml:space="preserve"> </w:t>
      </w:r>
      <w:r>
        <w:t xml:space="preserve">Extraction, processing, and manufacturing of all raw materials detailed in the Bill of Materials (BOM).</w:t>
      </w:r>
    </w:p>
    <w:p>
      <w:pPr>
        <w:numPr>
          <w:ilvl w:val="0"/>
          <w:numId w:val="1002"/>
        </w:numPr>
        <w:pStyle w:val="Compact"/>
      </w:pPr>
      <w:r>
        <w:rPr>
          <w:bCs/>
          <w:b/>
        </w:rPr>
        <w:t xml:space="preserve">Manufacturing/Production:</w:t>
      </w:r>
      <w:r>
        <w:t xml:space="preserve"> </w:t>
      </w:r>
      <w:r>
        <w:t xml:space="preserve">Energy consumption and direct emissions (if any) during the assembly and production of tedrgqeyvl at the fldehfkvde facility in China.</w:t>
      </w:r>
    </w:p>
    <w:p>
      <w:pPr>
        <w:numPr>
          <w:ilvl w:val="0"/>
          <w:numId w:val="1002"/>
        </w:numPr>
        <w:pStyle w:val="Compact"/>
      </w:pPr>
      <w:r>
        <w:rPr>
          <w:bCs/>
          <w:b/>
        </w:rPr>
        <w:t xml:space="preserve">Transportation &amp; Distribution:</w:t>
      </w:r>
      <w:r>
        <w:t xml:space="preserve"> </w:t>
      </w:r>
      <w:r>
        <w:t xml:space="preserve">Logistics of raw materials to the factory, and finished products to the customer, including last-mile delivery.</w:t>
      </w:r>
    </w:p>
    <w:p>
      <w:pPr>
        <w:numPr>
          <w:ilvl w:val="0"/>
          <w:numId w:val="1002"/>
        </w:numPr>
        <w:pStyle w:val="Compact"/>
      </w:pPr>
      <w:r>
        <w:rPr>
          <w:bCs/>
          <w:b/>
        </w:rPr>
        <w:t xml:space="preserve">Use Phase:</w:t>
      </w:r>
      <w:r>
        <w:t xml:space="preserve"> </w:t>
      </w:r>
      <w:r>
        <w:t xml:space="preserve">Energy consumption during the anticipated lifespan of the product.</w:t>
      </w:r>
    </w:p>
    <w:p>
      <w:pPr>
        <w:numPr>
          <w:ilvl w:val="0"/>
          <w:numId w:val="1002"/>
        </w:numPr>
        <w:pStyle w:val="Compact"/>
      </w:pPr>
      <w:r>
        <w:rPr>
          <w:bCs/>
          <w:b/>
        </w:rPr>
        <w:t xml:space="preserve">End-of-Life:</w:t>
      </w:r>
      <w:r>
        <w:t xml:space="preserve"> </w:t>
      </w:r>
      <w:r>
        <w:t xml:space="preserve">Disposal, recycling, and recovery processes for the product and its components at the end of its functional life.</w:t>
      </w:r>
    </w:p>
    <w:bookmarkEnd w:id="24"/>
    <w:bookmarkStart w:id="26" w:name="Xb57f50a89bf1f3f1837369be949d9d60d6c1272"/>
    <w:p>
      <w:pPr>
        <w:pStyle w:val="Heading3"/>
      </w:pPr>
      <w:r>
        <w:t xml:space="preserve">1.3. Collect Data (Primary/Secondary Data Points)</w:t>
      </w:r>
    </w:p>
    <w:p>
      <w:pPr>
        <w:pStyle w:val="FirstParagraph"/>
      </w:pPr>
      <w:r>
        <w:t xml:space="preserve">Data collection involved both primary and secondary data sources:</w:t>
      </w:r>
    </w:p>
    <w:p>
      <w:pPr>
        <w:numPr>
          <w:ilvl w:val="0"/>
          <w:numId w:val="1003"/>
        </w:numPr>
        <w:pStyle w:val="Compact"/>
      </w:pPr>
      <w:r>
        <w:rPr>
          <w:bCs/>
          <w:b/>
        </w:rPr>
        <w:t xml:space="preserve">Primary Data:</w:t>
      </w:r>
      <w:r>
        <w:t xml:space="preserve"> </w:t>
      </w:r>
      <w:r>
        <w:t xml:space="preserve">Provided parameters for company-specific operations.</w:t>
      </w:r>
    </w:p>
    <w:p>
      <w:pPr>
        <w:numPr>
          <w:ilvl w:val="1"/>
          <w:numId w:val="1004"/>
        </w:numPr>
        <w:pStyle w:val="Compact"/>
      </w:pPr>
      <w:r>
        <w:t xml:space="preserve">Detailed Bill of Materials (BOM): yxmfwtho</w:t>
      </w:r>
    </w:p>
    <w:p>
      <w:pPr>
        <w:numPr>
          <w:ilvl w:val="1"/>
          <w:numId w:val="1004"/>
        </w:numPr>
        <w:pStyle w:val="Compact"/>
      </w:pPr>
      <w:r>
        <w:t xml:space="preserve">Transport Mode: Select Mode (assumed Road freight - truck)</w:t>
      </w:r>
    </w:p>
    <w:p>
      <w:pPr>
        <w:numPr>
          <w:ilvl w:val="1"/>
          <w:numId w:val="1004"/>
        </w:numPr>
        <w:pStyle w:val="Compact"/>
      </w:pPr>
      <w:r>
        <w:t xml:space="preserve">Transport Distance: eudnptrsqr (assumed 500 km)</w:t>
      </w:r>
    </w:p>
    <w:p>
      <w:pPr>
        <w:numPr>
          <w:ilvl w:val="1"/>
          <w:numId w:val="1004"/>
        </w:numPr>
        <w:pStyle w:val="Compact"/>
      </w:pPr>
      <w:r>
        <w:t xml:space="preserve">Last-Mile Delivery Channel: Delivery Type (assumed Road - Light Commercial Vehicle, 50 km)</w:t>
      </w:r>
    </w:p>
    <w:p>
      <w:pPr>
        <w:numPr>
          <w:ilvl w:val="1"/>
          <w:numId w:val="1004"/>
        </w:numPr>
        <w:pStyle w:val="Compact"/>
      </w:pPr>
      <w:r>
        <w:t xml:space="preserve">Renewable Energy Usage (Production): yznvdgdxso (assumed 50%)</w:t>
      </w:r>
    </w:p>
    <w:p>
      <w:pPr>
        <w:numPr>
          <w:ilvl w:val="1"/>
          <w:numId w:val="1004"/>
        </w:numPr>
        <w:pStyle w:val="Compact"/>
      </w:pPr>
      <w:r>
        <w:t xml:space="preserve">Energy Intensity (Production): qipsreippm (assumed 10 kWh/unit)</w:t>
      </w:r>
    </w:p>
    <w:p>
      <w:pPr>
        <w:numPr>
          <w:ilvl w:val="1"/>
          <w:numId w:val="1004"/>
        </w:numPr>
        <w:pStyle w:val="Compact"/>
      </w:pPr>
      <w:r>
        <w:t xml:space="preserve">Product Lifespan: egiwewzgii (assumed 5 years)</w:t>
      </w:r>
    </w:p>
    <w:p>
      <w:pPr>
        <w:numPr>
          <w:ilvl w:val="1"/>
          <w:numId w:val="1004"/>
        </w:numPr>
        <w:pStyle w:val="Compact"/>
      </w:pPr>
      <w:r>
        <w:t xml:space="preserve">Energy Consumption in Use: ztyjllhnhm (assumed 20 kWh/year)</w:t>
      </w:r>
    </w:p>
    <w:p>
      <w:pPr>
        <w:numPr>
          <w:ilvl w:val="1"/>
          <w:numId w:val="1004"/>
        </w:numPr>
        <w:pStyle w:val="Compact"/>
      </w:pPr>
      <w:r>
        <w:t xml:space="preserve">Recyclability Percentage: vhwtveutmq (assumed 70%)</w:t>
      </w:r>
    </w:p>
    <w:p>
      <w:pPr>
        <w:numPr>
          <w:ilvl w:val="1"/>
          <w:numId w:val="1004"/>
        </w:numPr>
        <w:pStyle w:val="Compact"/>
      </w:pPr>
      <w:r>
        <w:t xml:space="preserve">Circular/Take-back Programs: itzdwsemql (assumed Yes, established program)</w:t>
      </w:r>
    </w:p>
    <w:p>
      <w:pPr>
        <w:numPr>
          <w:ilvl w:val="0"/>
          <w:numId w:val="1003"/>
        </w:numPr>
        <w:pStyle w:val="Compact"/>
      </w:pPr>
      <w:r>
        <w:rPr>
          <w:bCs/>
          <w:b/>
        </w:rPr>
        <w:t xml:space="preserve">Secondary Data:</w:t>
      </w:r>
      <w:r>
        <w:t xml:space="preserve"> </w:t>
      </w:r>
      <w:r>
        <w:t xml:space="preserve">Industry-standard emission factors were used for processes where primary data was not available or to complement provided data. These factors were sourced from reputable databases like Ecoinvent and DEFRA, reflecting geographic relevance where possible. Assumptions made for specific values are detailed in Section 1.4.</w:t>
      </w:r>
    </w:p>
    <w:bookmarkStart w:id="25" w:name="X375f90d34e2738bf774185f3c83efd090ce459a"/>
    <w:p>
      <w:pPr>
        <w:pStyle w:val="Heading4"/>
      </w:pPr>
      <w:r>
        <w:t xml:space="preserve">Detailed Breakdown of Materials and Energy Inputs:</w:t>
      </w:r>
    </w:p>
    <w:p>
      <w:pPr>
        <w:pStyle w:val="FirstParagraph"/>
      </w:pPr>
      <w:r>
        <w:t xml:space="preserve">The following table presents the detailed Bill of Materials (BOM) provided, along with their individual carbon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ID2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ID3</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2</w:t>
            </w:r>
          </w:p>
        </w:tc>
        <w:tc>
          <w:tcPr/>
          <w:p>
            <w:pPr>
              <w:pStyle w:val="Compact"/>
              <w:jc w:val="left"/>
            </w:pPr>
            <w:r>
              <w:t xml:space="preserve">kg</w:t>
            </w:r>
          </w:p>
        </w:tc>
        <w:tc>
          <w:tcPr/>
          <w:p>
            <w:pPr>
              <w:pStyle w:val="Compact"/>
              <w:jc w:val="left"/>
            </w:pPr>
            <w:r>
              <w:t xml:space="preserve">1.5</w:t>
            </w:r>
          </w:p>
        </w:tc>
        <w:tc>
          <w:tcPr/>
          <w:p>
            <w:pPr>
              <w:pStyle w:val="Compact"/>
              <w:jc w:val="left"/>
            </w:pPr>
            <w:r>
              <w:t xml:space="preserve">3</w:t>
            </w:r>
          </w:p>
        </w:tc>
      </w:tr>
    </w:tbl>
    <w:p>
      <w:pPr>
        <w:pStyle w:val="BodyText"/>
      </w:pPr>
      <w:r>
        <w:rPr>
          <w:bCs/>
          <w:b/>
        </w:rPr>
        <w:t xml:space="preserve">Total Weight of Product (excluding packaging):</w:t>
      </w:r>
      <w:r>
        <w:t xml:space="preserve"> </w:t>
      </w:r>
      <w:r>
        <w:t xml:space="preserve">15 kg (10 kg Steel + 5 kg Plastic)</w:t>
      </w:r>
    </w:p>
    <w:p>
      <w:pPr>
        <w:pStyle w:val="BodyText"/>
      </w:pPr>
      <w:r>
        <w:rPr>
          <w:bCs/>
          <w:b/>
        </w:rPr>
        <w:t xml:space="preserve">Total Weight of Packaging:</w:t>
      </w:r>
      <w:r>
        <w:t xml:space="preserve"> </w:t>
      </w:r>
      <w:r>
        <w:t xml:space="preserve">2 kg</w:t>
      </w:r>
    </w:p>
    <w:p>
      <w:pPr>
        <w:pStyle w:val="BodyText"/>
      </w:pPr>
      <w:r>
        <w:rPr>
          <w:bCs/>
          <w:b/>
        </w:rPr>
        <w:t xml:space="preserve">Total Product &amp; Packaging Weight:</w:t>
      </w:r>
      <w:r>
        <w:t xml:space="preserve"> </w:t>
      </w:r>
      <w:r>
        <w:t xml:space="preserve">17 kg</w:t>
      </w:r>
    </w:p>
    <w:p>
      <w:pPr>
        <w:pStyle w:val="BodyText"/>
      </w:pPr>
      <w:r>
        <w:rPr>
          <w:bCs/>
          <w:b/>
        </w:rPr>
        <w:t xml:space="preserve">Energy Inputs (Production Phase):</w:t>
      </w:r>
    </w:p>
    <w:p>
      <w:pPr>
        <w:numPr>
          <w:ilvl w:val="0"/>
          <w:numId w:val="1005"/>
        </w:numPr>
        <w:pStyle w:val="Compact"/>
      </w:pPr>
      <w:r>
        <w:rPr>
          <w:bCs/>
          <w:b/>
        </w:rPr>
        <w:t xml:space="preserve">Energy Intensity:</w:t>
      </w:r>
      <w:r>
        <w:t xml:space="preserve"> </w:t>
      </w:r>
      <w:r>
        <w:t xml:space="preserve">10 kWh/unit [cite: qipsreippm]</w:t>
      </w:r>
    </w:p>
    <w:p>
      <w:pPr>
        <w:numPr>
          <w:ilvl w:val="0"/>
          <w:numId w:val="1005"/>
        </w:numPr>
        <w:pStyle w:val="Compact"/>
      </w:pPr>
      <w:r>
        <w:rPr>
          <w:bCs/>
          <w:b/>
        </w:rPr>
        <w:t xml:space="preserve">Renewable Energy Usage:</w:t>
      </w:r>
      <w:r>
        <w:t xml:space="preserve"> </w:t>
      </w:r>
      <w:r>
        <w:t xml:space="preserve">50% [cite: yznvdgdxso]</w:t>
      </w:r>
    </w:p>
    <w:p>
      <w:pPr>
        <w:numPr>
          <w:ilvl w:val="0"/>
          <w:numId w:val="1005"/>
        </w:numPr>
        <w:pStyle w:val="Compact"/>
      </w:pPr>
      <w:r>
        <w:rPr>
          <w:bCs/>
          <w:b/>
        </w:rPr>
        <w:t xml:space="preserve">Non-renewable energy:</w:t>
      </w:r>
      <w:r>
        <w:t xml:space="preserve"> </w:t>
      </w:r>
      <w:r>
        <w:t xml:space="preserve">5 kWh/unit</w:t>
      </w:r>
    </w:p>
    <w:p>
      <w:r>
        <w:pict>
          <v:rect style="width:0;height:1.5pt" o:hralign="center" o:hrstd="t" o:hr="t"/>
        </w:pict>
      </w:r>
    </w:p>
    <w:bookmarkEnd w:id="25"/>
    <w:bookmarkEnd w:id="26"/>
    <w:bookmarkEnd w:id="27"/>
    <w:bookmarkStart w:id="34" w:name="X2c62247db19834934c44c209ad423fe06ba5c64"/>
    <w:p>
      <w:pPr>
        <w:pStyle w:val="Heading2"/>
      </w:pPr>
      <w:r>
        <w:t xml:space="preserve">2. Calculation of Emissions (Activity * Emission Factor = CO2e)</w:t>
      </w:r>
    </w:p>
    <w:p>
      <w:pPr>
        <w:pStyle w:val="FirstParagraph"/>
      </w:pPr>
      <w:r>
        <w:t xml:space="preserve">Emissions were calculated for each lifecycle stage by multiplying activity data by relevant emission factors. All calculations result in carbon dioxide equivalents (CO2e), encompassing CO2, CH4, and N2O.</w:t>
      </w:r>
    </w:p>
    <w:bookmarkStart w:id="28" w:name="X4e6afa4a0743b0f7bb8fa2c1085754eeb55c3e5"/>
    <w:p>
      <w:pPr>
        <w:pStyle w:val="Heading3"/>
      </w:pPr>
      <w:r>
        <w:t xml:space="preserve">2.1. Raw Material Acquisition &amp; Pre-processing (Scope 3)</w:t>
      </w:r>
    </w:p>
    <w:p>
      <w:pPr>
        <w:pStyle w:val="FirstParagraph"/>
      </w:pPr>
      <w:r>
        <w:t xml:space="preserve">Based on the provided Bill of Materials (BOM), the pre-calculated carbon impacts for material extraction and processing are directly used:</w:t>
      </w:r>
    </w:p>
    <w:p>
      <w:pPr>
        <w:numPr>
          <w:ilvl w:val="0"/>
          <w:numId w:val="1006"/>
        </w:numPr>
        <w:pStyle w:val="Compact"/>
      </w:pPr>
      <w:r>
        <w:t xml:space="preserve">Steel (10 kg): 20 kg CO2e</w:t>
      </w:r>
    </w:p>
    <w:p>
      <w:pPr>
        <w:numPr>
          <w:ilvl w:val="0"/>
          <w:numId w:val="1006"/>
        </w:numPr>
        <w:pStyle w:val="Compact"/>
      </w:pPr>
      <w:r>
        <w:t xml:space="preserve">Plastic (5 kg): 15 kg CO2e</w:t>
      </w:r>
    </w:p>
    <w:p>
      <w:pPr>
        <w:numPr>
          <w:ilvl w:val="0"/>
          <w:numId w:val="1006"/>
        </w:numPr>
        <w:pStyle w:val="Compact"/>
      </w:pPr>
      <w:r>
        <w:t xml:space="preserve">Packaging (Paper, 2 kg): 3 kg CO2e</w:t>
      </w:r>
    </w:p>
    <w:p>
      <w:pPr>
        <w:pStyle w:val="FirstParagraph"/>
      </w:pPr>
      <w:r>
        <w:rPr>
          <w:bCs/>
          <w:b/>
        </w:rPr>
        <w:t xml:space="preserve">Total Raw Material &amp; Pre-processing Emissions: 38 kg CO2e</w:t>
      </w:r>
    </w:p>
    <w:bookmarkEnd w:id="28"/>
    <w:bookmarkStart w:id="29" w:name="manufacturingproduction-scope-2"/>
    <w:p>
      <w:pPr>
        <w:pStyle w:val="Heading3"/>
      </w:pPr>
      <w:r>
        <w:t xml:space="preserve">2.2. Manufacturing/Production (Scope 2)</w:t>
      </w:r>
    </w:p>
    <w:p>
      <w:pPr>
        <w:pStyle w:val="FirstParagraph"/>
      </w:pPr>
      <w:r>
        <w:t xml:space="preserve">The manufacturing process occurs in China. Emissions are calculated based on purchased electricity intensity and renewable energy usage.</w:t>
      </w:r>
    </w:p>
    <w:p>
      <w:pPr>
        <w:numPr>
          <w:ilvl w:val="0"/>
          <w:numId w:val="1007"/>
        </w:numPr>
        <w:pStyle w:val="Compact"/>
      </w:pPr>
      <w:r>
        <w:t xml:space="preserve">Energy Intensity: 10 kWh/unit [cite: qipsreippm]</w:t>
      </w:r>
    </w:p>
    <w:p>
      <w:pPr>
        <w:numPr>
          <w:ilvl w:val="0"/>
          <w:numId w:val="1007"/>
        </w:numPr>
        <w:pStyle w:val="Compact"/>
      </w:pPr>
      <w:r>
        <w:t xml:space="preserve">Renewable Energy Usage: 50% [cite: yznvdgdxso]</w:t>
      </w:r>
    </w:p>
    <w:p>
      <w:pPr>
        <w:numPr>
          <w:ilvl w:val="0"/>
          <w:numId w:val="1007"/>
        </w:numPr>
        <w:pStyle w:val="Compact"/>
      </w:pPr>
      <w:r>
        <w:t xml:space="preserve">Non-renewable electricity consumption: 10 kWh/unit * (1 - 0.50) = 5 kWh/unit</w:t>
      </w:r>
    </w:p>
    <w:p>
      <w:pPr>
        <w:numPr>
          <w:ilvl w:val="0"/>
          <w:numId w:val="1007"/>
        </w:numPr>
        <w:pStyle w:val="Compact"/>
      </w:pPr>
      <w:r>
        <w:t xml:space="preserve">Emission Factor for China Electricity Grid Mix: 0.581 kg CO2e/kWh (2023 average for China\'s electricity generation carbon intensity).</w:t>
      </w:r>
    </w:p>
    <w:p>
      <w:pPr>
        <w:pStyle w:val="FirstParagraph"/>
      </w:pPr>
      <w:r>
        <w:rPr>
          <w:bCs/>
          <w:b/>
        </w:rPr>
        <w:t xml:space="preserve">Manufacturing Emissions:</w:t>
      </w:r>
      <w:r>
        <w:t xml:space="preserve"> </w:t>
      </w:r>
      <w:r>
        <w:t xml:space="preserve">5 kWh/unit * 0.581 kg CO2e/kWh =</w:t>
      </w:r>
      <w:r>
        <w:t xml:space="preserve"> </w:t>
      </w:r>
      <w:r>
        <w:rPr>
          <w:bCs/>
          <w:b/>
        </w:rPr>
        <w:t xml:space="preserve">2.91 kg CO2e</w:t>
      </w:r>
    </w:p>
    <w:bookmarkEnd w:id="29"/>
    <w:bookmarkStart w:id="30" w:name="transportation-distribution-scope-3"/>
    <w:p>
      <w:pPr>
        <w:pStyle w:val="Heading3"/>
      </w:pPr>
      <w:r>
        <w:t xml:space="preserve">2.3. Transportation &amp; Distribution (Scope 3)</w:t>
      </w:r>
    </w:p>
    <w:p>
      <w:pPr>
        <w:pStyle w:val="FirstParagraph"/>
      </w:pPr>
      <w:r>
        <w:t xml:space="preserve">Transportation impacts are calculated for both primary transport and last-mile delivery.</w:t>
      </w:r>
    </w:p>
    <w:p>
      <w:pPr>
        <w:numPr>
          <w:ilvl w:val="0"/>
          <w:numId w:val="1008"/>
        </w:numPr>
        <w:pStyle w:val="Compact"/>
      </w:pPr>
      <w:r>
        <w:t xml:space="preserve">Product Weight: 17 kg (10 kg Steel + 5 kg Plastic + 2 kg Packaging)</w:t>
      </w:r>
    </w:p>
    <w:p>
      <w:pPr>
        <w:numPr>
          <w:ilvl w:val="0"/>
          <w:numId w:val="1008"/>
        </w:numPr>
        <w:pStyle w:val="Compact"/>
      </w:pPr>
      <w:r>
        <w:rPr>
          <w:bCs/>
          <w:b/>
        </w:rPr>
        <w:t xml:space="preserve">Primary Transport (e.g., Factory to Distribution Hub):</w:t>
      </w:r>
    </w:p>
    <w:p>
      <w:pPr>
        <w:numPr>
          <w:ilvl w:val="1"/>
          <w:numId w:val="1009"/>
        </w:numPr>
        <w:pStyle w:val="Compact"/>
      </w:pPr>
      <w:r>
        <w:t xml:space="preserve">Transport Mode: Road freight (truck) [cite: Select Mode]</w:t>
      </w:r>
    </w:p>
    <w:p>
      <w:pPr>
        <w:numPr>
          <w:ilvl w:val="1"/>
          <w:numId w:val="1009"/>
        </w:numPr>
        <w:pStyle w:val="Compact"/>
      </w:pPr>
      <w:r>
        <w:t xml:space="preserve">Transport Distance: 500 km [cite: eudnptrsqr]</w:t>
      </w:r>
    </w:p>
    <w:p>
      <w:pPr>
        <w:numPr>
          <w:ilvl w:val="1"/>
          <w:numId w:val="1009"/>
        </w:numPr>
        <w:pStyle w:val="Compact"/>
      </w:pPr>
      <w:r>
        <w:t xml:space="preserve">Emission Factor for Road Freight: 0.08 kg CO2e/tonne-km (representative for Europe-focused supply chain).</w:t>
      </w:r>
    </w:p>
    <w:p>
      <w:pPr>
        <w:numPr>
          <w:ilvl w:val="1"/>
          <w:numId w:val="1009"/>
        </w:numPr>
        <w:pStyle w:val="Compact"/>
      </w:pPr>
      <w:r>
        <w:t xml:space="preserve">Calculation: (17 kg / 1000 kg/tonne) * 500 km * 0.08 kg CO2e/tonne-km = 0.68 kg CO2e</w:t>
      </w:r>
    </w:p>
    <w:p>
      <w:pPr>
        <w:numPr>
          <w:ilvl w:val="0"/>
          <w:numId w:val="1008"/>
        </w:numPr>
        <w:pStyle w:val="Compact"/>
      </w:pPr>
      <w:r>
        <w:rPr>
          <w:bCs/>
          <w:b/>
        </w:rPr>
        <w:t xml:space="preserve">Last-Mile Delivery:</w:t>
      </w:r>
    </w:p>
    <w:p>
      <w:pPr>
        <w:numPr>
          <w:ilvl w:val="1"/>
          <w:numId w:val="1010"/>
        </w:numPr>
        <w:pStyle w:val="Compact"/>
      </w:pPr>
      <w:r>
        <w:t xml:space="preserve">Delivery Channel: Road (Light Commercial Vehicle) [cite: Delivery Type]</w:t>
      </w:r>
    </w:p>
    <w:p>
      <w:pPr>
        <w:numPr>
          <w:ilvl w:val="1"/>
          <w:numId w:val="1010"/>
        </w:numPr>
        <w:pStyle w:val="Compact"/>
      </w:pPr>
      <w:r>
        <w:t xml:space="preserve">Assumed Last-Mile Distance: 50 km</w:t>
      </w:r>
    </w:p>
    <w:p>
      <w:pPr>
        <w:numPr>
          <w:ilvl w:val="1"/>
          <w:numId w:val="1010"/>
        </w:numPr>
        <w:pStyle w:val="Compact"/>
      </w:pPr>
      <w:r>
        <w:t xml:space="preserve">Emission Factor for Light Commercial Vehicle: 0.2 kg CO2e/km (estimated).</w:t>
      </w:r>
    </w:p>
    <w:p>
      <w:pPr>
        <w:numPr>
          <w:ilvl w:val="1"/>
          <w:numId w:val="1010"/>
        </w:numPr>
        <w:pStyle w:val="Compact"/>
      </w:pPr>
      <w:r>
        <w:t xml:space="preserve">Calculation: 50 km * 0.2 kg CO2e/km = 10 kg CO2e</w:t>
      </w:r>
    </w:p>
    <w:p>
      <w:pPr>
        <w:pStyle w:val="FirstParagraph"/>
      </w:pPr>
      <w:r>
        <w:rPr>
          <w:bCs/>
          <w:b/>
        </w:rPr>
        <w:t xml:space="preserve">Total Transportation Emissions:</w:t>
      </w:r>
      <w:r>
        <w:t xml:space="preserve"> </w:t>
      </w:r>
      <w:r>
        <w:t xml:space="preserve">0.68 kg CO2e + 10 kg CO2e =</w:t>
      </w:r>
      <w:r>
        <w:t xml:space="preserve"> </w:t>
      </w:r>
      <w:r>
        <w:rPr>
          <w:bCs/>
          <w:b/>
        </w:rPr>
        <w:t xml:space="preserve">10.68 kg CO2e</w:t>
      </w:r>
    </w:p>
    <w:bookmarkEnd w:id="30"/>
    <w:bookmarkStart w:id="31" w:name="use-phase-scope-3"/>
    <w:p>
      <w:pPr>
        <w:pStyle w:val="Heading3"/>
      </w:pPr>
      <w:r>
        <w:t xml:space="preserve">2.4. Use Phase (Scope 3)</w:t>
      </w:r>
    </w:p>
    <w:p>
      <w:pPr>
        <w:pStyle w:val="FirstParagraph"/>
      </w:pPr>
      <w:r>
        <w:t xml:space="preserve">Emissions from the use of tedrgqeyvl over its lifespan.</w:t>
      </w:r>
    </w:p>
    <w:p>
      <w:pPr>
        <w:numPr>
          <w:ilvl w:val="0"/>
          <w:numId w:val="1011"/>
        </w:numPr>
        <w:pStyle w:val="Compact"/>
      </w:pPr>
      <w:r>
        <w:t xml:space="preserve">Product Lifespan: 5 years [cite: egiwewzgii]</w:t>
      </w:r>
    </w:p>
    <w:p>
      <w:pPr>
        <w:numPr>
          <w:ilvl w:val="0"/>
          <w:numId w:val="1011"/>
        </w:numPr>
        <w:pStyle w:val="Compact"/>
      </w:pPr>
      <w:r>
        <w:t xml:space="preserve">Energy Consumption in Use: 20 kWh/year [cite: ztyjllhnhm]</w:t>
      </w:r>
    </w:p>
    <w:p>
      <w:pPr>
        <w:numPr>
          <w:ilvl w:val="0"/>
          <w:numId w:val="1011"/>
        </w:numPr>
        <w:pStyle w:val="Compact"/>
      </w:pPr>
      <w:r>
        <w:t xml:space="preserve">Total Energy Consumption over Lifespan: 20 kWh/year * 5 years = 100 kWh</w:t>
      </w:r>
    </w:p>
    <w:p>
      <w:pPr>
        <w:numPr>
          <w:ilvl w:val="0"/>
          <w:numId w:val="1011"/>
        </w:numPr>
        <w:pStyle w:val="Compact"/>
      </w:pPr>
      <w:r>
        <w:t xml:space="preserve">Emission Factor for Electricity (Global Average): 0.42 kg CO2e/kWh (interpolated from 2024-2027 global average forecast).</w:t>
      </w:r>
    </w:p>
    <w:p>
      <w:pPr>
        <w:pStyle w:val="FirstParagraph"/>
      </w:pPr>
      <w:r>
        <w:rPr>
          <w:bCs/>
          <w:b/>
        </w:rPr>
        <w:t xml:space="preserve">Use Phase Emissions:</w:t>
      </w:r>
      <w:r>
        <w:t xml:space="preserve"> </w:t>
      </w:r>
      <w:r>
        <w:t xml:space="preserve">100 kWh * 0.42 kg CO2e/kWh =</w:t>
      </w:r>
      <w:r>
        <w:t xml:space="preserve"> </w:t>
      </w:r>
      <w:r>
        <w:rPr>
          <w:bCs/>
          <w:b/>
        </w:rPr>
        <w:t xml:space="preserve">42.00 kg CO2e</w:t>
      </w:r>
    </w:p>
    <w:bookmarkEnd w:id="31"/>
    <w:bookmarkStart w:id="32" w:name="end-of-life-eol-scope-3"/>
    <w:p>
      <w:pPr>
        <w:pStyle w:val="Heading3"/>
      </w:pPr>
      <w:r>
        <w:t xml:space="preserve">2.5. End-of-Life (EoL) (Scope 3)</w:t>
      </w:r>
    </w:p>
    <w:p>
      <w:pPr>
        <w:pStyle w:val="FirstParagraph"/>
      </w:pPr>
      <w:r>
        <w:t xml:space="preserve">EoL scenarios are based on recyclability and the existence of circular programs, aiming to reflect circular economy impacts. A recyclability rate of 70% [cite: vhwtveutmq] is applied to the product\'s main materials and packaging.</w:t>
      </w:r>
    </w:p>
    <w:p>
      <w:pPr>
        <w:numPr>
          <w:ilvl w:val="0"/>
          <w:numId w:val="1012"/>
        </w:numPr>
        <w:pStyle w:val="Compact"/>
      </w:pPr>
      <w:r>
        <w:rPr>
          <w:bCs/>
          <w:b/>
        </w:rPr>
        <w:t xml:space="preserve">Steel (10 kg):</w:t>
      </w:r>
    </w:p>
    <w:p>
      <w:pPr>
        <w:numPr>
          <w:ilvl w:val="1"/>
          <w:numId w:val="1013"/>
        </w:numPr>
        <w:pStyle w:val="Compact"/>
      </w:pPr>
      <w:r>
        <w:t xml:space="preserve">Recycled Portion (70%): 7 kg. Credit for recycled steel (assuming avoided virgin production): -1.0 kg CO2e/kg. Calculation: 7 kg * -1.0 kg CO2e/kg = -7.00 kg CO2e</w:t>
      </w:r>
    </w:p>
    <w:p>
      <w:pPr>
        <w:numPr>
          <w:ilvl w:val="1"/>
          <w:numId w:val="1013"/>
        </w:numPr>
        <w:pStyle w:val="Compact"/>
      </w:pPr>
      <w:r>
        <w:t xml:space="preserve">Disposed Portion (30%): 3 kg. Emission factor for metal disposal (landfill/incineration, estimated): 0.05 kg CO2e/kg. Calculation: 3 kg * 0.05 kg CO2e/kg = 0.15 kg CO2e</w:t>
      </w:r>
    </w:p>
    <w:p>
      <w:pPr>
        <w:numPr>
          <w:ilvl w:val="0"/>
          <w:numId w:val="1012"/>
        </w:numPr>
        <w:pStyle w:val="Compact"/>
      </w:pPr>
      <w:r>
        <w:rPr>
          <w:bCs/>
          <w:b/>
        </w:rPr>
        <w:t xml:space="preserve">Plastic (5 kg):</w:t>
      </w:r>
    </w:p>
    <w:p>
      <w:pPr>
        <w:numPr>
          <w:ilvl w:val="1"/>
          <w:numId w:val="1014"/>
        </w:numPr>
        <w:pStyle w:val="Compact"/>
      </w:pPr>
      <w:r>
        <w:t xml:space="preserve">Recycled Portion (70%): 3.5 kg. Credit for recycled plastic (assuming avoided virgin production): -1.0 kg CO2e/kg. Calculation: 3.5 kg * -1.0 kg CO2e/kg = -3.50 kg CO2e</w:t>
      </w:r>
    </w:p>
    <w:p>
      <w:pPr>
        <w:numPr>
          <w:ilvl w:val="1"/>
          <w:numId w:val="1014"/>
        </w:numPr>
        <w:pStyle w:val="Compact"/>
      </w:pPr>
      <w:r>
        <w:t xml:space="preserve">Disposed Portion (30%): 1.5 kg. Emission factor for plastic landfill: 0.033 kg CO2e/kg. Calculation: 1.5 kg * 0.033 kg CO2e/kg = 0.05 kg CO2e</w:t>
      </w:r>
    </w:p>
    <w:p>
      <w:pPr>
        <w:numPr>
          <w:ilvl w:val="0"/>
          <w:numId w:val="1012"/>
        </w:numPr>
        <w:pStyle w:val="Compact"/>
      </w:pPr>
      <w:r>
        <w:rPr>
          <w:bCs/>
          <w:b/>
        </w:rPr>
        <w:t xml:space="preserve">Paper Packaging (2 kg):</w:t>
      </w:r>
    </w:p>
    <w:p>
      <w:pPr>
        <w:numPr>
          <w:ilvl w:val="1"/>
          <w:numId w:val="1015"/>
        </w:numPr>
        <w:pStyle w:val="Compact"/>
      </w:pPr>
      <w:r>
        <w:t xml:space="preserve">Recycled Portion (70%): 1.4 kg. Credit for recycled paper (assuming avoided virgin production): -0.5 kg CO2e/kg. Calculation: 1.4 kg * -0.5 kg CO2e/kg = -0.70 kg CO2e</w:t>
      </w:r>
    </w:p>
    <w:p>
      <w:pPr>
        <w:numPr>
          <w:ilvl w:val="1"/>
          <w:numId w:val="1015"/>
        </w:numPr>
        <w:pStyle w:val="Compact"/>
      </w:pPr>
      <w:r>
        <w:t xml:space="preserve">Disposed Portion (30%): 0.6 kg. Emission factor for paper disposal (landfill, estimated): 0.02 kg CO2e/kg. Calculation: 0.6 kg * 0.02 kg CO2e/kg = 0.01 kg CO2e</w:t>
      </w:r>
    </w:p>
    <w:p>
      <w:pPr>
        <w:pStyle w:val="FirstParagraph"/>
      </w:pPr>
      <w:r>
        <w:rPr>
          <w:bCs/>
          <w:b/>
        </w:rPr>
        <w:t xml:space="preserve">Total End-of-Life Emissions:</w:t>
      </w:r>
      <w:r>
        <w:t xml:space="preserve"> </w:t>
      </w:r>
      <w:r>
        <w:t xml:space="preserve">(-7.00 + 0.15) + (-3.50 + 0.05) + (-0.70 + 0.01) = -6.85 + -3.45 + -0.69 =</w:t>
      </w:r>
      <w:r>
        <w:t xml:space="preserve"> </w:t>
      </w:r>
      <w:r>
        <w:rPr>
          <w:bCs/>
          <w:b/>
        </w:rPr>
        <w:t xml:space="preserve">-10.99 kg CO2e (Net Credit)</w:t>
      </w:r>
    </w:p>
    <w:bookmarkEnd w:id="32"/>
    <w:bookmarkStart w:id="33" w:name="summary-of-emissions-by-lifecycle-stage"/>
    <w:p>
      <w:pPr>
        <w:pStyle w:val="Heading3"/>
      </w:pPr>
      <w:r>
        <w:t xml:space="preserve">2.6. 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w:t>
            </w:r>
          </w:p>
        </w:tc>
        <w:tc>
          <w:tcPr/>
          <w:p>
            <w:pPr>
              <w:pStyle w:val="Compact"/>
              <w:jc w:val="left"/>
            </w:pPr>
            <w:r>
              <w:t xml:space="preserve">38.00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2.91</w:t>
            </w:r>
          </w:p>
        </w:tc>
      </w:tr>
      <w:tr>
        <w:tc>
          <w:tcPr/>
          <w:p>
            <w:pPr>
              <w:pStyle w:val="Compact"/>
              <w:jc w:val="left"/>
            </w:pPr>
            <w:r>
              <w:t xml:space="preserve">Transportation &amp; Distribution</w:t>
            </w:r>
          </w:p>
        </w:tc>
        <w:tc>
          <w:tcPr/>
          <w:p>
            <w:pPr>
              <w:pStyle w:val="Compact"/>
              <w:jc w:val="left"/>
            </w:pPr>
            <w:r>
              <w:t xml:space="preserve">Scope 3</w:t>
            </w:r>
          </w:p>
        </w:tc>
        <w:tc>
          <w:tcPr/>
          <w:p>
            <w:pPr>
              <w:pStyle w:val="Compact"/>
              <w:jc w:val="left"/>
            </w:pPr>
            <w:r>
              <w:t xml:space="preserve">10.68</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42.00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-10.99</w:t>
            </w:r>
          </w:p>
        </w:tc>
      </w:tr>
      <w:tr>
        <w:tc>
          <w:tcPr>
            <w:gridSpan w:val="2"/>
          </w:tcPr>
          <w:p>
            <w:pPr>
              <w:pStyle w:val="Compact"/>
              <w:jc w:val="left"/>
            </w:pPr>
            <w:r>
              <w:t xml:space="preserve">TOTAL PRODUCT CARBON FOOTPRINT</w:t>
            </w:r>
          </w:p>
        </w:tc>
        <w:tc>
          <w:tcPr/>
          <w:p>
            <w:pPr>
              <w:pStyle w:val="Compact"/>
              <w:jc w:val="left"/>
            </w:pPr>
            <w:r>
              <w:t xml:space="preserve">82.60</w:t>
            </w:r>
          </w:p>
        </w:tc>
      </w:tr>
    </w:tbl>
    <w:p>
      <w:r>
        <w:pict>
          <v:rect style="width:0;height:1.5pt" o:hralign="center" o:hrstd="t" o:hr="t"/>
        </w:pict>
      </w:r>
    </w:p>
    <w:bookmarkEnd w:id="33"/>
    <w:bookmarkEnd w:id="34"/>
    <w:bookmarkStart w:id="37" w:name="review-report"/>
    <w:p>
      <w:pPr>
        <w:pStyle w:val="Heading2"/>
      </w:pPr>
      <w:r>
        <w:t xml:space="preserve">3. Review &amp; Report</w:t>
      </w:r>
    </w:p>
    <w:bookmarkStart w:id="35" w:name="emission-hotspots"/>
    <w:p>
      <w:pPr>
        <w:pStyle w:val="Heading3"/>
      </w:pPr>
      <w:r>
        <w:t xml:space="preserve">3.1. Emission Hotspots</w:t>
      </w:r>
    </w:p>
    <w:p>
      <w:pPr>
        <w:pStyle w:val="FirstParagraph"/>
      </w:pPr>
      <w:r>
        <w:t xml:space="preserve">The primary emission hotspots for tedrgqeyvl are:</w:t>
      </w:r>
    </w:p>
    <w:p>
      <w:pPr>
        <w:numPr>
          <w:ilvl w:val="0"/>
          <w:numId w:val="1016"/>
        </w:numPr>
        <w:pStyle w:val="Compact"/>
      </w:pPr>
      <w:r>
        <w:rPr>
          <w:bCs/>
          <w:b/>
        </w:rPr>
        <w:t xml:space="preserve">Use Phase (42.00 kg CO2e):</w:t>
      </w:r>
      <w:r>
        <w:t xml:space="preserve"> </w:t>
      </w:r>
      <w:r>
        <w:t xml:space="preserve">This is the largest contributor, largely due to the energy consumption of the product over its 5-year lifespan. Focusing on reducing in-use energy consumption or promoting renewable energy adoption by end-users could significantly reduce this impact.</w:t>
      </w:r>
    </w:p>
    <w:p>
      <w:pPr>
        <w:numPr>
          <w:ilvl w:val="0"/>
          <w:numId w:val="1016"/>
        </w:numPr>
        <w:pStyle w:val="Compact"/>
      </w:pPr>
      <w:r>
        <w:rPr>
          <w:bCs/>
          <w:b/>
        </w:rPr>
        <w:t xml:space="preserve">Raw Material Acquisition &amp; Pre-processing (38.00 kg CO2e):</w:t>
      </w:r>
      <w:r>
        <w:t xml:space="preserve"> </w:t>
      </w:r>
      <w:r>
        <w:t xml:space="preserve">The impact of steel and plastic production is substantial. Opportunities exist in optimizing material use, exploring lower-carbon material alternatives, or increasing recycled content.</w:t>
      </w:r>
    </w:p>
    <w:p>
      <w:pPr>
        <w:numPr>
          <w:ilvl w:val="0"/>
          <w:numId w:val="1016"/>
        </w:numPr>
        <w:pStyle w:val="Compact"/>
      </w:pPr>
      <w:r>
        <w:rPr>
          <w:bCs/>
          <w:b/>
        </w:rPr>
        <w:t xml:space="preserve">Transportation &amp; Distribution (10.68 kg CO2e):</w:t>
      </w:r>
      <w:r>
        <w:t xml:space="preserve"> </w:t>
      </w:r>
      <w:r>
        <w:t xml:space="preserve">Last-mile delivery accounts for a significant portion of transport emissions. Strategies for optimizing logistics, using more efficient vehicles, or shifting to lower-carbon transport modes (where feasible) should be considered.</w:t>
      </w:r>
    </w:p>
    <w:bookmarkEnd w:id="35"/>
    <w:bookmarkStart w:id="36" w:name="reliability-and-limitations"/>
    <w:p>
      <w:pPr>
        <w:pStyle w:val="Heading3"/>
      </w:pPr>
      <w:r>
        <w:t xml:space="preserve">3.2. Reliability and Limitations</w:t>
      </w:r>
    </w:p>
    <w:p>
      <w:pPr>
        <w:pStyle w:val="FirstParagraph"/>
      </w:pPr>
      <w:r>
        <w:t xml:space="preserve">The reliability of this PCF analysis is high due to adherence to the GHG Protocol and the use of detailed primary data where available. However, some limitations and assumptions must be noted:</w:t>
      </w:r>
    </w:p>
    <w:p>
      <w:pPr>
        <w:numPr>
          <w:ilvl w:val="0"/>
          <w:numId w:val="1017"/>
        </w:numPr>
        <w:pStyle w:val="Compact"/>
      </w:pPr>
      <w:r>
        <w:rPr>
          <w:bCs/>
          <w:b/>
        </w:rPr>
        <w:t xml:space="preserve">Placeholder Data:</w:t>
      </w:r>
      <w:r>
        <w:t xml:space="preserve"> </w:t>
      </w:r>
      <w:r>
        <w:t xml:space="preserve">Several parameters were provided as generic strings (e.g., "Select Mode", "Delivery Type") and required reasonable assumptions for calculation (e.g., "Road freight - truck", "Light Commercial Vehicle").</w:t>
      </w:r>
    </w:p>
    <w:p>
      <w:pPr>
        <w:numPr>
          <w:ilvl w:val="0"/>
          <w:numId w:val="1017"/>
        </w:numPr>
        <w:pStyle w:val="Compact"/>
      </w:pPr>
      <w:r>
        <w:rPr>
          <w:bCs/>
          <w:b/>
        </w:rPr>
        <w:t xml:space="preserve">Emission Factors:</w:t>
      </w:r>
      <w:r>
        <w:t xml:space="preserve"> </w:t>
      </w:r>
      <w:r>
        <w:t xml:space="preserve">While industry-standard emission factors (e.g., from Ecoinvent/DEFRA, IEA data) were used, they represent averages and may not perfectly reflect specific supplier or regional conditions.</w:t>
      </w:r>
    </w:p>
    <w:p>
      <w:pPr>
        <w:numPr>
          <w:ilvl w:val="0"/>
          <w:numId w:val="1017"/>
        </w:numPr>
        <w:pStyle w:val="Compact"/>
      </w:pPr>
      <w:r>
        <w:rPr>
          <w:bCs/>
          <w:b/>
        </w:rPr>
        <w:t xml:space="preserve">End-of-Life Modeling:</w:t>
      </w:r>
      <w:r>
        <w:t xml:space="preserve"> </w:t>
      </w:r>
      <w:r>
        <w:t xml:space="preserve">The EoL credits for recycling are based on general assumptions of avoided virgin material production. Actual benefits can vary depending on local recycling infrastructure and market demand for recycled materials.</w:t>
      </w:r>
    </w:p>
    <w:p>
      <w:pPr>
        <w:numPr>
          <w:ilvl w:val="0"/>
          <w:numId w:val="1017"/>
        </w:numPr>
        <w:pStyle w:val="Compact"/>
      </w:pPr>
      <w:r>
        <w:rPr>
          <w:bCs/>
          <w:b/>
        </w:rPr>
        <w:t xml:space="preserve">LSR Standard:</w:t>
      </w:r>
      <w:r>
        <w:t xml:space="preserve"> </w:t>
      </w:r>
      <w:r>
        <w:t xml:space="preserve">While the LSR Standard is acknowledged, specific detailed land-use change data was not available for every raw material. The included emission factors are assumed to cover typical land-related impacts.</w:t>
      </w:r>
    </w:p>
    <w:p>
      <w:pPr>
        <w:pStyle w:val="FirstParagraph"/>
      </w:pPr>
      <w:r>
        <w:t xml:space="preserve">Despite these limitations, this report provides a robust and comprehensive assessment of tedrgqeyvl\'s carbon footprint, identifying key areas for potential improvement.</w:t>
      </w:r>
    </w:p>
    <w:bookmarkEnd w:id="36"/>
    <w:bookmarkEnd w:id="37"/>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tedrgqeyvl</dc:title>
  <dc:creator/>
  <dc:description>Detailed Product Carbon Footprint (PCF) analysis report for tedrgqeyvl by fldehfkvde, adhering to GHG Protocol standards and 2026 requirements.</dc:description>
  <dc:language>en</dc:language>
  <cp:keywords/>
  <dcterms:created xsi:type="dcterms:W3CDTF">2026-05-30T16:54:28Z</dcterms:created>
  <dcterms:modified xsi:type="dcterms:W3CDTF">2026-05-30T16:54:28Z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