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tdzejfvnwu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tdzejfvnwu</w:t>
      </w:r>
    </w:p>
    <w:p>
      <w:pPr>
        <w:pStyle w:val="BodyText"/>
      </w:pPr>
      <w:r>
        <w:rPr>
          <w:bCs/>
          <w:b/>
        </w:rPr>
        <w:t xml:space="preserve">Company:</w:t>
      </w:r>
      <w:r>
        <w:t xml:space="preserve"> </w:t>
      </w:r>
      <w:r>
        <w:t xml:space="preserve">ywzxoglxjk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xzldzkgjjt</w:t>
      </w:r>
    </w:p>
    <w:p>
      <w:pPr>
        <w:pStyle w:val="BodyText"/>
      </w:pPr>
      <w:r>
        <w:t xml:space="preserve">Disclaimer: This report is generated based on available data and industry standards, incorporating specific parameters provided.</w:t>
      </w:r>
      <w:r>
        <w:t xml:space="preserve"> </w:t>
      </w:r>
      <w:r>
        <w:t xml:space="preserve">All calculations are illustrative where placeholder data was used and should be verified with primary data where possible.</w:t>
      </w:r>
    </w:p>
    <w:bookmarkEnd w:id="20"/>
    <w:bookmarkStart w:id="48" w:name="X7633955eb8c807397149737342b61f1cdbcedd9"/>
    <w:p>
      <w:pPr>
        <w:pStyle w:val="Heading1"/>
      </w:pPr>
      <w:r>
        <w:t xml:space="preserve">Product Carbon Footprint Analysis for tdzejfvnwu</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the product</w:t>
      </w:r>
      <w:r>
        <w:t xml:space="preserve"> </w:t>
      </w:r>
      <w:r>
        <w:rPr>
          <w:bCs/>
          <w:b/>
        </w:rPr>
        <w:t xml:space="preserve">tdzejfvnwu</w:t>
      </w:r>
      <w:r>
        <w:t xml:space="preserve">, manufactured by</w:t>
      </w:r>
      <w:r>
        <w:t xml:space="preserve"> </w:t>
      </w:r>
      <w:r>
        <w:rPr>
          <w:bCs/>
          <w:b/>
        </w:rPr>
        <w:t xml:space="preserve">ywzxoglxjk</w:t>
      </w:r>
      <w:r>
        <w:t xml:space="preserve">.</w:t>
      </w:r>
      <w:r>
        <w:t xml:space="preserve"> </w:t>
      </w:r>
      <w:r>
        <w:t xml:space="preserve">Conducted by</w:t>
      </w:r>
      <w:r>
        <w:t xml:space="preserve"> </w:t>
      </w:r>
      <w:r>
        <w:rPr>
          <w:bCs/>
          <w:b/>
        </w:rPr>
        <w:t xml:space="preserve">xzldzkgjjt</w:t>
      </w:r>
      <w:r>
        <w:t xml:space="preserve">, a Senior Sustainability Consultant specializing in GHG Protocol, this analysis adheres to the latest GHG Protocol standards, including the 2026 Land Sector and Removals (LSR) update, and ensures over 95% coverage for Scope 3 emissions. The assessment follows a cradle-to-grave approach, encompassing material acquisition, manufacturing, transportation, use phase, and end-of-life scenarios. The primary goal is to quantify the greenhouse gas emissions associated with the product\'s lifecycle, identify significant hotspots, and provide actionable insights for emission reduction.</w:t>
      </w:r>
    </w:p>
    <w:p>
      <w:pPr>
        <w:pStyle w:val="BodyText"/>
      </w:pPr>
      <w:r>
        <w:t xml:space="preserve">The product\'s lifecycle emissions are categorized into Scope 1 (direct emissions), Scope 2 (purchased energy emissions), and Scope 3 (all other indirect emissions across the value chain). Key findings highlight the significant impact of raw material acquisition, the use phase, and production energy, offering clear areas for strategic intervention.</w:t>
      </w:r>
    </w:p>
    <w:p>
      <w:r>
        <w:pict>
          <v:rect style="width:0;height:1.5pt" o:hralign="center" o:hrstd="t" o:hr="t"/>
        </w:pict>
      </w:r>
    </w:p>
    <w:bookmarkStart w:id="22" w:name="methodology-and-scope-definition"/>
    <w:p>
      <w:pPr>
        <w:pStyle w:val="Heading2"/>
      </w:pPr>
      <w:r>
        <w:t xml:space="preserve">1. Methodology and Scope Definition</w:t>
      </w:r>
    </w:p>
    <w:bookmarkEnd w:id="22"/>
    <w:bookmarkStart w:id="23" w:name="accounting-standard"/>
    <w:p>
      <w:pPr>
        <w:pStyle w:val="Heading3"/>
      </w:pPr>
      <w:r>
        <w:t xml:space="preserve">1.1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Emissions are categorized into Scope 1, Scope 2, and Scope 3 according to GHG Protocol guidelines.</w:t>
      </w:r>
    </w:p>
    <w:bookmarkEnd w:id="23"/>
    <w:bookmarkStart w:id="24" w:name="functional-unit"/>
    <w:p>
      <w:pPr>
        <w:pStyle w:val="Heading3"/>
      </w:pPr>
      <w:r>
        <w:t xml:space="preserve">1.2 Functional Unit</w:t>
      </w:r>
    </w:p>
    <w:p>
      <w:pPr>
        <w:pStyle w:val="FirstParagraph"/>
      </w:pPr>
      <w:r>
        <w:t xml:space="preserve">The functional unit for this assessment is defined as:</w:t>
      </w:r>
      <w:r>
        <w:t xml:space="preserve"> </w:t>
      </w:r>
      <w:r>
        <w:rPr>
          <w:bCs/>
          <w:b/>
        </w:rPr>
        <w:t xml:space="preserve">1.0 unit of tdzejfvnwu</w:t>
      </w:r>
      <w:r>
        <w:t xml:space="preserve">.</w:t>
      </w:r>
    </w:p>
    <w:bookmarkEnd w:id="24"/>
    <w:bookmarkStart w:id="25" w:name="system-boundary"/>
    <w:p>
      <w:pPr>
        <w:pStyle w:val="Heading3"/>
      </w:pPr>
      <w:r>
        <w:t xml:space="preserve">1.3 System Boundary</w:t>
      </w:r>
    </w:p>
    <w:p>
      <w:pPr>
        <w:pStyle w:val="FirstParagraph"/>
      </w:pPr>
      <w:r>
        <w:t xml:space="preserve">The system boundary for this PCF analysis is "Cradle-to-Grave". While the \'factory_gate\' parameter specifically refers to the primary production boundary for direct manufacturing emissions, the overall analysis extends to cover the entire product lifecycle as per GHG Protocol requirements for comprehensive product assessments. This includes:</w:t>
      </w:r>
    </w:p>
    <w:p>
      <w:pPr>
        <w:numPr>
          <w:ilvl w:val="0"/>
          <w:numId w:val="1001"/>
        </w:numPr>
        <w:pStyle w:val="Compact"/>
      </w:pPr>
      <w:r>
        <w:t xml:space="preserve">Raw Material Acquisition &amp; Processing</w:t>
      </w:r>
    </w:p>
    <w:p>
      <w:pPr>
        <w:numPr>
          <w:ilvl w:val="0"/>
          <w:numId w:val="1001"/>
        </w:numPr>
        <w:pStyle w:val="Compact"/>
      </w:pPr>
      <w:r>
        <w:t xml:space="preserve">Manufacturing (at ywzxoglxjk\'s facility in China)</w:t>
      </w:r>
    </w:p>
    <w:p>
      <w:pPr>
        <w:numPr>
          <w:ilvl w:val="0"/>
          <w:numId w:val="1001"/>
        </w:numPr>
        <w:pStyle w:val="Compact"/>
      </w:pPr>
      <w:r>
        <w:t xml:space="preserve">Transportation (to distribution centers and last-mile delivery in Europe)</w:t>
      </w:r>
    </w:p>
    <w:p>
      <w:pPr>
        <w:numPr>
          <w:ilvl w:val="0"/>
          <w:numId w:val="1001"/>
        </w:numPr>
        <w:pStyle w:val="Compact"/>
      </w:pPr>
      <w:r>
        <w:t xml:space="preserve">Use Phase (customer energy consumption)</w:t>
      </w:r>
    </w:p>
    <w:p>
      <w:pPr>
        <w:numPr>
          <w:ilvl w:val="0"/>
          <w:numId w:val="1001"/>
        </w:numPr>
        <w:pStyle w:val="Compact"/>
      </w:pPr>
      <w:r>
        <w:t xml:space="preserve">End-of-Life (recycling, disposal)</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materials and downstream distribution/use)</w:t>
      </w:r>
    </w:p>
    <w:bookmarkEnd w:id="26"/>
    <w:bookmarkStart w:id="27" w:name="allocation"/>
    <w:p>
      <w:pPr>
        <w:pStyle w:val="Heading3"/>
      </w:pPr>
      <w:r>
        <w:t xml:space="preserve">1.5 Allocation</w:t>
      </w:r>
    </w:p>
    <w:p>
      <w:pPr>
        <w:pStyle w:val="FirstParagraph"/>
      </w:pPr>
      <w:r>
        <w:t xml:space="preserve">Emissions are allocated to the functional unit based on mass and energy consumption throughout the product\'s lifecycle. Recycling benefits and burdens are calculated using the avoided burden approach for End-of-Life scenarios.</w:t>
      </w:r>
    </w:p>
    <w:bookmarkEnd w:id="27"/>
    <w:bookmarkStart w:id="28" w:name="ghg-protocol-scope-categorization"/>
    <w:p>
      <w:pPr>
        <w:pStyle w:val="Heading3"/>
      </w:pPr>
      <w:r>
        <w:t xml:space="preserve">1.6 GHG Protocol Scope Categorization</w:t>
      </w:r>
    </w:p>
    <w:p>
      <w:pPr>
        <w:pStyle w:val="FirstParagraph"/>
      </w:pPr>
      <w:r>
        <w:t xml:space="preserve">Emissions are categorized as follows:</w:t>
      </w:r>
    </w:p>
    <w:p>
      <w:pPr>
        <w:numPr>
          <w:ilvl w:val="0"/>
          <w:numId w:val="1003"/>
        </w:numPr>
        <w:pStyle w:val="Compact"/>
      </w:pPr>
      <w:r>
        <w:rPr>
          <w:bCs/>
          <w:b/>
        </w:rPr>
        <w:t xml:space="preserve">Scope 1: Direct GHG Emissions</w:t>
      </w:r>
      <w:r>
        <w:t xml:space="preserve"> </w:t>
      </w:r>
      <w:r>
        <w:t xml:space="preserve">from sources owned or controlled by ywzxoglxjk (e.g., fuel combustion in company vehicles or manufacturing processes not covered by purchased energy). For this product-level PCF, direct emissions from manufacturing are primarily captured in the \'Production Phase\' calculation.</w:t>
      </w:r>
    </w:p>
    <w:p>
      <w:pPr>
        <w:numPr>
          <w:ilvl w:val="0"/>
          <w:numId w:val="1003"/>
        </w:numPr>
        <w:pStyle w:val="Compact"/>
      </w:pPr>
      <w:r>
        <w:rPr>
          <w:bCs/>
          <w:b/>
        </w:rPr>
        <w:t xml:space="preserve">Scope 2: Indirect GHG Emissions from Purchased Energy</w:t>
      </w:r>
      <w:r>
        <w:t xml:space="preserve"> </w:t>
      </w:r>
      <w:r>
        <w:t xml:space="preserve">from the generation of purchased electricity, steam, heating, or cooling consumed by ywzxoglxjk.</w:t>
      </w:r>
    </w:p>
    <w:p>
      <w:pPr>
        <w:numPr>
          <w:ilvl w:val="0"/>
          <w:numId w:val="1003"/>
        </w:numPr>
        <w:pStyle w:val="Compact"/>
      </w:pPr>
      <w:r>
        <w:rPr>
          <w:bCs/>
          <w:b/>
        </w:rPr>
        <w:t xml:space="preserve">Scope 3: Other Indirect GHG Emissions</w:t>
      </w:r>
      <w:r>
        <w:t xml:space="preserve"> </w:t>
      </w:r>
      <w:r>
        <w:t xml:space="preserve">occurring from the value chain, both upstream and downstream. This includes emissions from raw material extraction, transportation, product use, and end-of-life treatment. This analysis ensures at least 95% coverage for Scope 3 reporting, in line with 2026 requirements.</w:t>
      </w:r>
    </w:p>
    <w:bookmarkEnd w:id="28"/>
    <w:bookmarkStart w:id="29" w:name="X504f4a86e01fdcfa46a4589bb1b5e0cfaad8629"/>
    <w:p>
      <w:pPr>
        <w:pStyle w:val="Heading3"/>
      </w:pPr>
      <w:r>
        <w:t xml:space="preserve">1.7 2026 Land Sector and Removals (LSR) Standard Update</w:t>
      </w:r>
    </w:p>
    <w:p>
      <w:pPr>
        <w:pStyle w:val="FirstParagraph"/>
      </w:pPr>
      <w:r>
        <w:t xml:space="preserve">The GHG Protocol released its Land Sector and Removals (LSR) Standard on January 30, 2026, which becomes effective on January 1, 2027. This standard provides accounting requirements and guidance for land emissions and CO₂ removals, particularly for agricultural and land use activities. While forestry is not included in this version of the standard, its principles are integrated into this analysis by acknowledging potential land-use impacts in upstream material sourcing, even if not explicitly quantified with specific LSR factors due to the illustrative nature of the BOM. The accompanying guidance for the LSR Standard is expected in Q2 2026.</w:t>
      </w:r>
    </w:p>
    <w:p>
      <w:r>
        <w:pict>
          <v:rect style="width:0;height:1.5pt" o:hralign="center" o:hrstd="t" o:hr="t"/>
        </w:pict>
      </w:r>
    </w:p>
    <w:bookmarkEnd w:id="29"/>
    <w:bookmarkStart w:id="30" w:name="X2aae9e09fdba2198d8ad214e9b4a0454a424c87"/>
    <w:p>
      <w:pPr>
        <w:pStyle w:val="Heading2"/>
      </w:pPr>
      <w:r>
        <w:t xml:space="preserve">2. Lifecycle Inventory (LCI) &amp; Data Collection (Step 2 &amp; 3)</w:t>
      </w:r>
    </w:p>
    <w:bookmarkEnd w:id="30"/>
    <w:p>
      <w:pPr>
        <w:pStyle w:val="FirstParagraph"/>
      </w:pPr>
      <w:r>
        <w:t xml:space="preserve">This section details the primary and secondary data points collected and the inventory stages mapped for</w:t>
      </w:r>
      <w:r>
        <w:t xml:space="preserve"> </w:t>
      </w:r>
      <w:r>
        <w:rPr>
          <w:bCs/>
          <w:b/>
        </w:rPr>
        <w:t xml:space="preserve">tdzejfvnwu</w:t>
      </w:r>
      <w:r>
        <w:t xml:space="preserve">.</w:t>
      </w:r>
    </w:p>
    <w:bookmarkStart w:id="31" w:name="assumptions-for-placeholder-data"/>
    <w:p>
      <w:pPr>
        <w:pStyle w:val="Heading3"/>
      </w:pPr>
      <w:r>
        <w:t xml:space="preserve">2.1 Assumptions for Placeholder Data</w:t>
      </w:r>
    </w:p>
    <w:p>
      <w:pPr>
        <w:pStyle w:val="FirstParagraph"/>
      </w:pPr>
      <w:r>
        <w:rPr>
          <w:bCs/>
          <w:b/>
        </w:rPr>
        <w:t xml:space="preserve">NOTE:</w:t>
      </w:r>
      <w:r>
        <w:t xml:space="preserve"> </w:t>
      </w:r>
      <w:r>
        <w:t xml:space="preserve">The following data points were provided as placeholders (`yskqlequ`, `Select Mode`, `wpfzlixikz`, `Delivery Type`, `xghmdwyepx`, `zihdyigojm`, `shzjtrzetq`, `jymuvhjylk`, `udfkgkrluo`, `iikmwukwyz`). For the purpose of this demonstration, plausible, illustrative values and typical industry emission factors have been assumed where specific data was not available. These assumptions are clearly stated below and should be replaced with primary data for a definitive assessment.</w:t>
      </w:r>
    </w:p>
    <w:p>
      <w:pPr>
        <w:numPr>
          <w:ilvl w:val="0"/>
          <w:numId w:val="1004"/>
        </w:numPr>
        <w:pStyle w:val="Compact"/>
      </w:pPr>
      <w:r>
        <w:rPr>
          <w:bCs/>
          <w:b/>
        </w:rPr>
        <w:t xml:space="preserve">Transport Mode:</w:t>
      </w:r>
      <w:r>
        <w:t xml:space="preserve"> </w:t>
      </w:r>
      <w:r>
        <w:t xml:space="preserve">Upstream (Europe to China factory) assumed as Ocean Freight (Container Ship). Downstream (China to Europe distribution, then last-mile) assumed as Ocean Freight + Road Freight (Heavy Goods Vehicle).</w:t>
      </w:r>
    </w:p>
    <w:p>
      <w:pPr>
        <w:numPr>
          <w:ilvl w:val="0"/>
          <w:numId w:val="1004"/>
        </w:numPr>
        <w:pStyle w:val="Compact"/>
      </w:pPr>
      <w:r>
        <w:rPr>
          <w:bCs/>
          <w:b/>
        </w:rPr>
        <w:t xml:space="preserve">Transport Distance:</w:t>
      </w:r>
      <w:r>
        <w:t xml:space="preserve"> </w:t>
      </w:r>
      <w:r>
        <w:t xml:space="preserve">`wpfzlixikz` is illustratively set to 10,000 km for ocean freight and 500 km for last-mile road freight.</w:t>
      </w:r>
    </w:p>
    <w:p>
      <w:pPr>
        <w:numPr>
          <w:ilvl w:val="0"/>
          <w:numId w:val="1004"/>
        </w:numPr>
        <w:pStyle w:val="Compact"/>
      </w:pPr>
      <w:r>
        <w:rPr>
          <w:bCs/>
          <w:b/>
        </w:rPr>
        <w:t xml:space="preserve">Product Weight for Transport:</w:t>
      </w:r>
      <w:r>
        <w:t xml:space="preserve"> </w:t>
      </w:r>
      <w:r>
        <w:t xml:space="preserve">Assumed total product weight (including initial packaging) for logistics calculations is 1.0 kg/unit.</w:t>
      </w:r>
    </w:p>
    <w:p>
      <w:pPr>
        <w:numPr>
          <w:ilvl w:val="0"/>
          <w:numId w:val="1004"/>
        </w:numPr>
        <w:pStyle w:val="Compact"/>
      </w:pPr>
      <w:r>
        <w:rPr>
          <w:bCs/>
          <w:b/>
        </w:rPr>
        <w:t xml:space="preserve">Renewable Energy Usage (Production):</w:t>
      </w:r>
      <w:r>
        <w:t xml:space="preserve"> </w:t>
      </w:r>
      <w:r>
        <w:t xml:space="preserve">`xghmdwyepx` is illustratively set to 50% renewable energy use at ywzxoglxjk\'s production facility.</w:t>
      </w:r>
    </w:p>
    <w:p>
      <w:pPr>
        <w:numPr>
          <w:ilvl w:val="0"/>
          <w:numId w:val="1004"/>
        </w:numPr>
        <w:pStyle w:val="Compact"/>
      </w:pPr>
      <w:r>
        <w:rPr>
          <w:bCs/>
          <w:b/>
        </w:rPr>
        <w:t xml:space="preserve">Energy Intensity (Production):</w:t>
      </w:r>
      <w:r>
        <w:t xml:space="preserve"> </w:t>
      </w:r>
      <w:r>
        <w:t xml:space="preserve">`zihdyigojm` is illustratively set to 10 kWh/unit.</w:t>
      </w:r>
    </w:p>
    <w:p>
      <w:pPr>
        <w:numPr>
          <w:ilvl w:val="0"/>
          <w:numId w:val="1004"/>
        </w:numPr>
        <w:pStyle w:val="Compact"/>
      </w:pPr>
      <w:r>
        <w:rPr>
          <w:bCs/>
          <w:b/>
        </w:rPr>
        <w:t xml:space="preserve">Product Lifespan:</w:t>
      </w:r>
      <w:r>
        <w:t xml:space="preserve"> </w:t>
      </w:r>
      <w:r>
        <w:t xml:space="preserve">`shzjtrzetq` is illustratively set to 5 years.</w:t>
      </w:r>
    </w:p>
    <w:p>
      <w:pPr>
        <w:numPr>
          <w:ilvl w:val="0"/>
          <w:numId w:val="1004"/>
        </w:numPr>
        <w:pStyle w:val="Compact"/>
      </w:pPr>
      <w:r>
        <w:rPr>
          <w:bCs/>
          <w:b/>
        </w:rPr>
        <w:t xml:space="preserve">Energy Consumption in Use:</w:t>
      </w:r>
      <w:r>
        <w:t xml:space="preserve"> </w:t>
      </w:r>
      <w:r>
        <w:t xml:space="preserve">`jymuvhjylk` is illustratively set to 20 kWh/year.</w:t>
      </w:r>
    </w:p>
    <w:p>
      <w:pPr>
        <w:numPr>
          <w:ilvl w:val="0"/>
          <w:numId w:val="1004"/>
        </w:numPr>
        <w:pStyle w:val="Compact"/>
      </w:pPr>
      <w:r>
        <w:rPr>
          <w:bCs/>
          <w:b/>
        </w:rPr>
        <w:t xml:space="preserve">Recyclability Percentage:</w:t>
      </w:r>
      <w:r>
        <w:t xml:space="preserve"> </w:t>
      </w:r>
      <w:r>
        <w:t xml:space="preserve">`udfkgkrluo` is illustratively set to 70% of material mass considered recyclable.</w:t>
      </w:r>
    </w:p>
    <w:p>
      <w:pPr>
        <w:numPr>
          <w:ilvl w:val="0"/>
          <w:numId w:val="1004"/>
        </w:numPr>
        <w:pStyle w:val="Compact"/>
      </w:pPr>
      <w:r>
        <w:rPr>
          <w:bCs/>
          <w:b/>
        </w:rPr>
        <w:t xml:space="preserve">Circular/Take-back Programs:</w:t>
      </w:r>
      <w:r>
        <w:t xml:space="preserve"> </w:t>
      </w:r>
      <w:r>
        <w:t xml:space="preserve">`iikmwukwyz` is illustratively assumed to be effective, leading to avoided emissions credits for recyclable materials.</w:t>
      </w:r>
    </w:p>
    <w:p>
      <w:pPr>
        <w:numPr>
          <w:ilvl w:val="0"/>
          <w:numId w:val="1004"/>
        </w:numPr>
        <w:pStyle w:val="Compact"/>
      </w:pPr>
      <w:r>
        <w:rPr>
          <w:bCs/>
          <w:b/>
        </w:rPr>
        <w:t xml:space="preserve">Emission Factors:</w:t>
      </w:r>
      <w:r>
        <w:t xml:space="preserve"> </w:t>
      </w:r>
      <w:r>
        <w:t xml:space="preserve">Generic, publicly available EFs (e.g., consistent with Ecoinvent/DEFRA type data) have been used for transport and grid electricity where specific factors were not part of the `yskqlequ` BOM.</w:t>
      </w:r>
    </w:p>
    <w:bookmarkEnd w:id="31"/>
    <w:bookmarkStart w:id="32" w:name="Xd6700953404b9f5db66a43c3580b2a18adac0e5"/>
    <w:p>
      <w:pPr>
        <w:pStyle w:val="Heading3"/>
      </w:pPr>
      <w:r>
        <w:t xml:space="preserve">2.2 Bill of Materials (BOM) for tdzejfvnwu (Upstream/Scope 3)</w:t>
      </w:r>
    </w:p>
    <w:p>
      <w:pPr>
        <w:pStyle w:val="FirstParagraph"/>
      </w:pPr>
      <w:r>
        <w:t xml:space="preserve">The following table details the Bill of Materials (BOM) for</w:t>
      </w:r>
      <w:r>
        <w:t xml:space="preserve"> </w:t>
      </w:r>
      <w:r>
        <w:rPr>
          <w:bCs/>
          <w:b/>
        </w:rPr>
        <w:t xml:space="preserve">tdzejfvnwu</w:t>
      </w:r>
      <w:r>
        <w:t xml:space="preserve"> </w:t>
      </w:r>
      <w:r>
        <w:t xml:space="preserve">using the provided format. The \'Total Carbon\' values represent the embedded emissions from material acquisition and processing up to the point of delivery to ywzxoglxjk\'s factory.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Etching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PK01</w:t>
            </w:r>
          </w:p>
        </w:tc>
        <w:tc>
          <w:tcPr/>
          <w:p>
            <w:pPr>
              <w:pStyle w:val="Compact"/>
              <w:jc w:val="left"/>
            </w:pPr>
            <w:r>
              <w:t xml:space="preserve">Corrugated 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Subtotal Material Emissions (Scope 3, Category 1)</w:t>
            </w:r>
          </w:p>
        </w:tc>
        <w:tc>
          <w:tcPr/>
          <w:p>
            <w:pPr>
              <w:pStyle w:val="Compact"/>
              <w:jc w:val="left"/>
            </w:pPr>
            <w:r>
              <w:rPr>
                <w:bCs/>
                <w:b/>
              </w:rPr>
              <w:t xml:space="preserve">4.85</w:t>
            </w:r>
          </w:p>
        </w:tc>
      </w:tr>
    </w:tbl>
    <w:bookmarkEnd w:id="32"/>
    <w:bookmarkStart w:id="33" w:name="energy-inputs-production-phase"/>
    <w:p>
      <w:pPr>
        <w:pStyle w:val="Heading3"/>
      </w:pPr>
      <w:r>
        <w:t xml:space="preserve">2.3 Energy Inputs (Production Phase)</w:t>
      </w:r>
    </w:p>
    <w:p>
      <w:pPr>
        <w:pStyle w:val="FirstParagraph"/>
      </w:pPr>
      <w:r>
        <w:t xml:space="preserve">Energy consumption during the manufacturing of one unit of</w:t>
      </w:r>
      <w:r>
        <w:t xml:space="preserve"> </w:t>
      </w:r>
      <w:r>
        <w:rPr>
          <w:bCs/>
          <w:b/>
        </w:rPr>
        <w:t xml:space="preserve">tdzejfvnwu</w:t>
      </w:r>
      <w:r>
        <w:t xml:space="preserve"> </w:t>
      </w:r>
      <w:r>
        <w:t xml:space="preserve">at ywzxoglxjk\'s facility in China.</w:t>
      </w:r>
    </w:p>
    <w:p>
      <w:pPr>
        <w:numPr>
          <w:ilvl w:val="0"/>
          <w:numId w:val="1005"/>
        </w:numPr>
        <w:pStyle w:val="Compact"/>
      </w:pPr>
      <w:r>
        <w:rPr>
          <w:bCs/>
          <w:b/>
        </w:rPr>
        <w:t xml:space="preserve">Energy Intensity (`zihdyigojm`):</w:t>
      </w:r>
      <w:r>
        <w:t xml:space="preserve"> </w:t>
      </w:r>
      <w:r>
        <w:t xml:space="preserve">10 kWh/unit</w:t>
      </w:r>
    </w:p>
    <w:p>
      <w:pPr>
        <w:numPr>
          <w:ilvl w:val="0"/>
          <w:numId w:val="1005"/>
        </w:numPr>
        <w:pStyle w:val="Compact"/>
      </w:pPr>
      <w:r>
        <w:rPr>
          <w:bCs/>
          <w:b/>
        </w:rPr>
        <w:t xml:space="preserve">Renewable Energy Usage (`xghmdwyepx`):</w:t>
      </w:r>
      <w:r>
        <w:t xml:space="preserve"> </w:t>
      </w:r>
      <w:r>
        <w:t xml:space="preserve">50%</w:t>
      </w:r>
    </w:p>
    <w:p>
      <w:pPr>
        <w:numPr>
          <w:ilvl w:val="0"/>
          <w:numId w:val="1005"/>
        </w:numPr>
        <w:pStyle w:val="Compact"/>
      </w:pPr>
      <w:r>
        <w:rPr>
          <w:bCs/>
          <w:b/>
        </w:rPr>
        <w:t xml:space="preserve">Non-renewable Electricity Share:</w:t>
      </w:r>
      <w:r>
        <w:t xml:space="preserve"> </w:t>
      </w:r>
      <w:r>
        <w:t xml:space="preserve">50%</w:t>
      </w:r>
    </w:p>
    <w:p>
      <w:pPr>
        <w:numPr>
          <w:ilvl w:val="0"/>
          <w:numId w:val="1005"/>
        </w:numPr>
        <w:pStyle w:val="Compact"/>
      </w:pPr>
      <w:r>
        <w:rPr>
          <w:bCs/>
          <w:b/>
        </w:rPr>
        <w:t xml:space="preserve">Grid Electricity Emission Factor (China, assumed 2026):</w:t>
      </w:r>
      <w:r>
        <w:t xml:space="preserve"> </w:t>
      </w:r>
      <w:r>
        <w:t xml:space="preserve">0.50 kgCO2e/kWh (estimated based on IEA forecasts for China\'s declining CO2 intensity from 530 g CO₂/kWh in 2025 to 415 g CO₂/kWh in 2030).</w:t>
      </w:r>
    </w:p>
    <w:p>
      <w:pPr>
        <w:numPr>
          <w:ilvl w:val="0"/>
          <w:numId w:val="1005"/>
        </w:numPr>
        <w:pStyle w:val="Compact"/>
      </w:pPr>
      <w:r>
        <w:rPr>
          <w:bCs/>
          <w:b/>
        </w:rPr>
        <w:t xml:space="preserve">Renewable Electricity Emission Factor:</w:t>
      </w:r>
      <w:r>
        <w:t xml:space="preserve"> </w:t>
      </w:r>
      <w:r>
        <w:t xml:space="preserve">0 kgCO2e/kWh (assuming certified renewable energy sourcing).</w:t>
      </w:r>
    </w:p>
    <w:bookmarkEnd w:id="33"/>
    <w:bookmarkStart w:id="34" w:name="transportation-data-scope-3"/>
    <w:p>
      <w:pPr>
        <w:pStyle w:val="Heading3"/>
      </w:pPr>
      <w:r>
        <w:t xml:space="preserve">2.4 Transportation Data (Scope 3)</w:t>
      </w:r>
    </w:p>
    <w:p>
      <w:pPr>
        <w:pStyle w:val="FirstParagraph"/>
      </w:pPr>
      <w:r>
        <w:t xml:space="preserve">Logistics for materials inbound to the factory (Europe Focused) and outbound product distribution. Product weight for transport is assumed to be 1.0 kg/unit.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w:t>
            </w:r>
          </w:p>
        </w:tc>
      </w:tr>
      <w:tr>
        <w:tc>
          <w:tcPr/>
          <w:p>
            <w:pPr>
              <w:pStyle w:val="Compact"/>
              <w:jc w:val="left"/>
            </w:pPr>
            <w:r>
              <w:t xml:space="preserve">Upstream (Materials)</w:t>
            </w:r>
          </w:p>
        </w:tc>
        <w:tc>
          <w:tcPr/>
          <w:p>
            <w:pPr>
              <w:pStyle w:val="Compact"/>
              <w:jc w:val="left"/>
            </w:pPr>
            <w:r>
              <w:t xml:space="preserve">Ocean Freight (Container Ship) (`Select Mode`)</w:t>
            </w:r>
          </w:p>
        </w:tc>
        <w:tc>
          <w:tcPr/>
          <w:p>
            <w:pPr>
              <w:pStyle w:val="Compact"/>
              <w:jc w:val="left"/>
            </w:pPr>
            <w:r>
              <w:t xml:space="preserve">`wpfzlixikz` (10,000)</w:t>
            </w:r>
          </w:p>
        </w:tc>
        <w:tc>
          <w:tcPr/>
          <w:p>
            <w:pPr>
              <w:pStyle w:val="Compact"/>
              <w:jc w:val="left"/>
            </w:pPr>
            <w:r>
              <w:t xml:space="preserve">0.016</w:t>
            </w:r>
          </w:p>
        </w:tc>
      </w:tr>
      <w:tr>
        <w:tc>
          <w:tcPr/>
          <w:p>
            <w:pPr>
              <w:pStyle w:val="Compact"/>
              <w:jc w:val="left"/>
            </w:pPr>
            <w:r>
              <w:t xml:space="preserve">Downstream (Factory to EU Hub)</w:t>
            </w:r>
          </w:p>
        </w:tc>
        <w:tc>
          <w:tcPr/>
          <w:p>
            <w:pPr>
              <w:pStyle w:val="Compact"/>
              <w:jc w:val="left"/>
            </w:pPr>
            <w:r>
              <w:t xml:space="preserve">Ocean Freight (Container Ship) (`Select Mode`)</w:t>
            </w:r>
          </w:p>
        </w:tc>
        <w:tc>
          <w:tcPr/>
          <w:p>
            <w:pPr>
              <w:pStyle w:val="Compact"/>
              <w:jc w:val="left"/>
            </w:pPr>
            <w:r>
              <w:t xml:space="preserve">`wpfzlixikz` (10,000)</w:t>
            </w:r>
          </w:p>
        </w:tc>
        <w:tc>
          <w:tcPr/>
          <w:p>
            <w:pPr>
              <w:pStyle w:val="Compact"/>
              <w:jc w:val="left"/>
            </w:pPr>
            <w:r>
              <w:t xml:space="preserve">0.016</w:t>
            </w:r>
          </w:p>
        </w:tc>
      </w:tr>
      <w:tr>
        <w:tc>
          <w:tcPr/>
          <w:p>
            <w:pPr>
              <w:pStyle w:val="Compact"/>
              <w:jc w:val="left"/>
            </w:pPr>
            <w:r>
              <w:t xml:space="preserve">Downstream (EU Hub to End-User)</w:t>
            </w:r>
          </w:p>
        </w:tc>
        <w:tc>
          <w:tcPr/>
          <w:p>
            <w:pPr>
              <w:pStyle w:val="Compact"/>
              <w:jc w:val="left"/>
            </w:pPr>
            <w:r>
              <w:t xml:space="preserve">Road Freight (Heavy Goods Vehicle) (`Delivery Type`)</w:t>
            </w:r>
          </w:p>
        </w:tc>
        <w:tc>
          <w:tcPr/>
          <w:p>
            <w:pPr>
              <w:pStyle w:val="Compact"/>
              <w:jc w:val="left"/>
            </w:pPr>
            <w:r>
              <w:t xml:space="preserve">`wpfzlixikz` (500)</w:t>
            </w:r>
          </w:p>
        </w:tc>
        <w:tc>
          <w:tcPr/>
          <w:p>
            <w:pPr>
              <w:pStyle w:val="Compact"/>
              <w:jc w:val="left"/>
            </w:pPr>
            <w:r>
              <w:t xml:space="preserve">0.10</w:t>
            </w:r>
          </w:p>
        </w:tc>
      </w:tr>
    </w:tbl>
    <w:bookmarkEnd w:id="34"/>
    <w:bookmarkStart w:id="35" w:name="use-phase-data-scope-3"/>
    <w:p>
      <w:pPr>
        <w:pStyle w:val="Heading3"/>
      </w:pPr>
      <w:r>
        <w:t xml:space="preserve">2.5 Use Phase Data (Scope 3)</w:t>
      </w:r>
    </w:p>
    <w:p>
      <w:pPr>
        <w:numPr>
          <w:ilvl w:val="0"/>
          <w:numId w:val="1006"/>
        </w:numPr>
        <w:pStyle w:val="Compact"/>
      </w:pPr>
      <w:r>
        <w:rPr>
          <w:bCs/>
          <w:b/>
        </w:rPr>
        <w:t xml:space="preserve">Product Lifespan (`shzjtrzetq`):</w:t>
      </w:r>
      <w:r>
        <w:t xml:space="preserve"> </w:t>
      </w:r>
      <w:r>
        <w:t xml:space="preserve">5 years</w:t>
      </w:r>
    </w:p>
    <w:p>
      <w:pPr>
        <w:numPr>
          <w:ilvl w:val="0"/>
          <w:numId w:val="1006"/>
        </w:numPr>
        <w:pStyle w:val="Compact"/>
      </w:pPr>
      <w:r>
        <w:rPr>
          <w:bCs/>
          <w:b/>
        </w:rPr>
        <w:t xml:space="preserve">Energy Consumption in Use (`jymuvhjylk`):</w:t>
      </w:r>
      <w:r>
        <w:t xml:space="preserve"> </w:t>
      </w:r>
      <w:r>
        <w:t xml:space="preserve">20 kWh/year</w:t>
      </w:r>
    </w:p>
    <w:p>
      <w:pPr>
        <w:numPr>
          <w:ilvl w:val="0"/>
          <w:numId w:val="1006"/>
        </w:numPr>
        <w:pStyle w:val="Compact"/>
      </w:pPr>
      <w:r>
        <w:rPr>
          <w:bCs/>
          <w:b/>
        </w:rPr>
        <w:t xml:space="preserve">Grid Electricity Emission Factor (Europe, assumed user location 2026):</w:t>
      </w:r>
      <w:r>
        <w:t xml:space="preserve"> </w:t>
      </w:r>
      <w:r>
        <w:t xml:space="preserve">0.20 kgCO2e/kWh (estimated based on IEA forecasts for the EU\'s declining CO2 intensity from electricity generation towards 90 g CO₂/kWh by 2030).</w:t>
      </w:r>
    </w:p>
    <w:bookmarkEnd w:id="35"/>
    <w:bookmarkStart w:id="36" w:name="end-of-life-data-scope-3"/>
    <w:p>
      <w:pPr>
        <w:pStyle w:val="Heading3"/>
      </w:pPr>
      <w:r>
        <w:t xml:space="preserve">2.6 End-of-Life Data (Scope 3)</w:t>
      </w:r>
    </w:p>
    <w:p>
      <w:pPr>
        <w:numPr>
          <w:ilvl w:val="0"/>
          <w:numId w:val="1007"/>
        </w:numPr>
        <w:pStyle w:val="Compact"/>
      </w:pPr>
      <w:r>
        <w:rPr>
          <w:bCs/>
          <w:b/>
        </w:rPr>
        <w:t xml:space="preserve">Recyclability Percentage (`udfkgkrluo`):</w:t>
      </w:r>
      <w:r>
        <w:t xml:space="preserve"> </w:t>
      </w:r>
      <w:r>
        <w:t xml:space="preserve">70%</w:t>
      </w:r>
    </w:p>
    <w:p>
      <w:pPr>
        <w:numPr>
          <w:ilvl w:val="0"/>
          <w:numId w:val="1007"/>
        </w:numPr>
        <w:pStyle w:val="Compact"/>
      </w:pPr>
      <w:r>
        <w:rPr>
          <w:bCs/>
          <w:b/>
        </w:rPr>
        <w:t xml:space="preserve">Circular/Take-back Programs (`iikmwukwyz`):</w:t>
      </w:r>
      <w:r>
        <w:t xml:space="preserve"> </w:t>
      </w:r>
      <w:r>
        <w:t xml:space="preserve">Assumed effective programs in place, providing recycling credits.</w:t>
      </w:r>
    </w:p>
    <w:p>
      <w:pPr>
        <w:numPr>
          <w:ilvl w:val="0"/>
          <w:numId w:val="1007"/>
        </w:numPr>
        <w:pStyle w:val="Compact"/>
      </w:pPr>
      <w:r>
        <w:rPr>
          <w:bCs/>
          <w:b/>
        </w:rPr>
        <w:t xml:space="preserve">Disposal (Landfill/Incineration) Emission Factor:</w:t>
      </w:r>
      <w:r>
        <w:t xml:space="preserve"> </w:t>
      </w:r>
      <w:r>
        <w:t xml:space="preserve">Assumed 0.5 kgCO2e/unit for non-recyclable components and process residues.</w:t>
      </w:r>
    </w:p>
    <w:p>
      <w:r>
        <w:pict>
          <v:rect style="width:0;height:1.5pt" o:hralign="center" o:hrstd="t" o:hr="t"/>
        </w:pict>
      </w:r>
    </w:p>
    <w:bookmarkEnd w:id="36"/>
    <w:bookmarkStart w:id="37" w:name="emission-calculation-step-4"/>
    <w:p>
      <w:pPr>
        <w:pStyle w:val="Heading2"/>
      </w:pPr>
      <w:r>
        <w:t xml:space="preserve">3. Emission Calculation (Step 4)</w:t>
      </w:r>
    </w:p>
    <w:bookmarkEnd w:id="37"/>
    <w:p>
      <w:pPr>
        <w:pStyle w:val="FirstParagraph"/>
      </w:pPr>
      <w:r>
        <w:t xml:space="preserve">Emissions are calculated for each lifecycle stage (Activity Data × Emission Factor = CO2e). All values are reported in kilograms of CO2 equivalent (kgCO2e).</w:t>
      </w:r>
    </w:p>
    <w:bookmarkStart w:id="38" w:name="Xc030989f2714a8cec85ca09e458bbd9b4a69b0a"/>
    <w:p>
      <w:pPr>
        <w:pStyle w:val="Heading3"/>
      </w:pPr>
      <w:r>
        <w:t xml:space="preserve">3.1 Materials Acquisition &amp; Processing (Scope 3, Category 1)</w:t>
      </w:r>
    </w:p>
    <w:p>
      <w:pPr>
        <w:pStyle w:val="FirstParagraph"/>
      </w:pPr>
      <w:r>
        <w:t xml:space="preserve">Based on the provided BOM and pre-calculated \'Total Carbon\' for each component:</w:t>
      </w:r>
    </w:p>
    <w:p>
      <w:pPr>
        <w:pStyle w:val="BodyText"/>
      </w:pPr>
      <w:r>
        <w:rPr>
          <w:bCs/>
          <w:b/>
        </w:rPr>
        <w:t xml:space="preserve">Total Material Emissions = 4.85 kgCO2e</w:t>
      </w:r>
    </w:p>
    <w:bookmarkEnd w:id="38"/>
    <w:bookmarkStart w:id="39" w:name="X7a9ddd21bc5474f23473e53dd159287e8a724dd"/>
    <w:p>
      <w:pPr>
        <w:pStyle w:val="Heading3"/>
      </w:pPr>
      <w:r>
        <w:t xml:space="preserve">3.2 Manufacturing (Production Phase) at ywzxoglxjk (Scope 1 &amp; 2)</w:t>
      </w:r>
    </w:p>
    <w:p>
      <w:pPr>
        <w:pStyle w:val="FirstParagraph"/>
      </w:pPr>
      <w:r>
        <w:t xml:space="preserve">Emissions from energy consumption during the production of one unit of</w:t>
      </w:r>
      <w:r>
        <w:t xml:space="preserve"> </w:t>
      </w:r>
      <w:r>
        <w:rPr>
          <w:bCs/>
          <w:b/>
        </w:rPr>
        <w:t xml:space="preserve">tdzejfvnwu</w:t>
      </w:r>
      <w:r>
        <w:t xml:space="preserve">.</w:t>
      </w:r>
    </w:p>
    <w:p>
      <w:pPr>
        <w:numPr>
          <w:ilvl w:val="0"/>
          <w:numId w:val="1008"/>
        </w:numPr>
        <w:pStyle w:val="Compact"/>
      </w:pPr>
      <w:r>
        <w:t xml:space="preserve">Total electricity consumed: 10 kWh/unit</w:t>
      </w:r>
    </w:p>
    <w:p>
      <w:pPr>
        <w:numPr>
          <w:ilvl w:val="0"/>
          <w:numId w:val="1008"/>
        </w:numPr>
        <w:pStyle w:val="Compact"/>
      </w:pPr>
      <w:r>
        <w:t xml:space="preserve">Non-renewable electricity: 10 kWh * (1 - 0.50) = 5 kWh/unit</w:t>
      </w:r>
    </w:p>
    <w:p>
      <w:pPr>
        <w:numPr>
          <w:ilvl w:val="0"/>
          <w:numId w:val="1008"/>
        </w:numPr>
        <w:pStyle w:val="Compact"/>
      </w:pPr>
      <w:r>
        <w:t xml:space="preserve">Renewable electricity: 10 kWh * 0.50 = 5 kWh/unit</w:t>
      </w:r>
    </w:p>
    <w:p>
      <w:pPr>
        <w:numPr>
          <w:ilvl w:val="0"/>
          <w:numId w:val="1008"/>
        </w:numPr>
        <w:pStyle w:val="Compact"/>
      </w:pPr>
      <w:r>
        <w:t xml:space="preserve">Emissions from non-renewable electricity (Scope 2): 5 kWh/unit * 0.50 kgCO2e/kWh =</w:t>
      </w:r>
      <w:r>
        <w:t xml:space="preserve"> </w:t>
      </w:r>
      <w:r>
        <w:rPr>
          <w:bCs/>
          <w:b/>
        </w:rPr>
        <w:t xml:space="preserve">2.50 kgCO2e</w:t>
      </w:r>
    </w:p>
    <w:p>
      <w:pPr>
        <w:numPr>
          <w:ilvl w:val="0"/>
          <w:numId w:val="1008"/>
        </w:numPr>
        <w:pStyle w:val="Compact"/>
      </w:pPr>
      <w:r>
        <w:t xml:space="preserve">Emissions from renewable electricity: 5 kWh/unit * 0 kgCO2e/kWh = 0 kgCO2e</w:t>
      </w:r>
    </w:p>
    <w:p>
      <w:pPr>
        <w:numPr>
          <w:ilvl w:val="0"/>
          <w:numId w:val="1008"/>
        </w:numPr>
        <w:pStyle w:val="Compact"/>
      </w:pPr>
      <w:r>
        <w:t xml:space="preserve">Direct emissions (Scope 1) from minor on-site processes (e.g., small machinery, assumed negligible for this product-focused calculation without further data): 0.05 kgCO2e (illustrative)</w:t>
      </w:r>
    </w:p>
    <w:p>
      <w:pPr>
        <w:pStyle w:val="FirstParagraph"/>
      </w:pPr>
      <w:r>
        <w:rPr>
          <w:bCs/>
          <w:b/>
        </w:rPr>
        <w:t xml:space="preserve">Total Production Phase Emissions (Scope 1 &amp; 2) = 2.50 kgCO2e (Scope 2) + 0.05 kgCO2e (Scope 1) = 2.55 kgCO2e</w:t>
      </w:r>
    </w:p>
    <w:bookmarkEnd w:id="39"/>
    <w:bookmarkStart w:id="40" w:name="transportation-scope-3-category-4-9"/>
    <w:p>
      <w:pPr>
        <w:pStyle w:val="Heading3"/>
      </w:pPr>
      <w:r>
        <w:t xml:space="preserve">3.3 Transportation (Scope 3, Category 4 &amp; 9)</w:t>
      </w:r>
    </w:p>
    <w:p>
      <w:pPr>
        <w:pStyle w:val="FirstParagraph"/>
      </w:pPr>
      <w:r>
        <w:t xml:space="preserve">Calculations for both upstream material transport and downstream product distribution, assuming a product weight of 1.0 kg (0.001 tonnes).</w:t>
      </w:r>
    </w:p>
    <w:p>
      <w:pPr>
        <w:numPr>
          <w:ilvl w:val="0"/>
          <w:numId w:val="1009"/>
        </w:numPr>
        <w:pStyle w:val="Compact"/>
      </w:pPr>
      <w:r>
        <w:rPr>
          <w:bCs/>
          <w:b/>
        </w:rPr>
        <w:t xml:space="preserve">Upstream Material Transport (Scope 3, Category 4):</w:t>
      </w:r>
    </w:p>
    <w:p>
      <w:pPr>
        <w:numPr>
          <w:ilvl w:val="1"/>
          <w:numId w:val="1010"/>
        </w:numPr>
        <w:pStyle w:val="Compact"/>
      </w:pPr>
      <w:r>
        <w:t xml:space="preserve">Ocean Freight: 0.001 tonnes * 10,000 km * 0.016 kgCO2e/tkm = 0.16 kgCO2e</w:t>
      </w:r>
    </w:p>
    <w:p>
      <w:pPr>
        <w:numPr>
          <w:ilvl w:val="0"/>
          <w:numId w:val="1009"/>
        </w:numPr>
        <w:pStyle w:val="Compact"/>
      </w:pPr>
      <w:r>
        <w:rPr>
          <w:bCs/>
          <w:b/>
        </w:rPr>
        <w:t xml:space="preserve">Downstream Product Distribution (Scope 3, Category 9):</w:t>
      </w:r>
    </w:p>
    <w:p>
      <w:pPr>
        <w:numPr>
          <w:ilvl w:val="1"/>
          <w:numId w:val="1011"/>
        </w:numPr>
        <w:pStyle w:val="Compact"/>
      </w:pPr>
      <w:r>
        <w:t xml:space="preserve">Ocean Freight (Factory to EU Hub): 0.001 tonnes * 10,000 km * 0.016 kgCO2e/tkm = 0.16 kgCO2e</w:t>
      </w:r>
    </w:p>
    <w:p>
      <w:pPr>
        <w:numPr>
          <w:ilvl w:val="1"/>
          <w:numId w:val="1011"/>
        </w:numPr>
        <w:pStyle w:val="Compact"/>
      </w:pPr>
      <w:r>
        <w:t xml:space="preserve">Road Freight (EU Hub to End-User): 0.001 tonnes * 500 km * 0.10 kgCO2e/tkm = 0.05 kgCO2e</w:t>
      </w:r>
    </w:p>
    <w:p>
      <w:pPr>
        <w:pStyle w:val="FirstParagraph"/>
      </w:pPr>
      <w:r>
        <w:rPr>
          <w:bCs/>
          <w:b/>
        </w:rPr>
        <w:t xml:space="preserve">Total Transportation Emissions = 0.16 (Upstream) + 0.16 (Downstream Ocean) + 0.05 (Downstream Road) = 0.37 kgCO2e</w:t>
      </w:r>
    </w:p>
    <w:bookmarkEnd w:id="40"/>
    <w:bookmarkStart w:id="41" w:name="use-phase-scope-3-category-11"/>
    <w:p>
      <w:pPr>
        <w:pStyle w:val="Heading3"/>
      </w:pPr>
      <w:r>
        <w:t xml:space="preserve">3.4 Use Phase (Scope 3, Category 11)</w:t>
      </w:r>
    </w:p>
    <w:p>
      <w:pPr>
        <w:pStyle w:val="FirstParagraph"/>
      </w:pPr>
      <w:r>
        <w:t xml:space="preserve">Emissions from electricity consumption by the end-user over the product\'s lifespan.</w:t>
      </w:r>
    </w:p>
    <w:p>
      <w:pPr>
        <w:numPr>
          <w:ilvl w:val="0"/>
          <w:numId w:val="1012"/>
        </w:numPr>
        <w:pStyle w:val="Compact"/>
      </w:pPr>
      <w:r>
        <w:t xml:space="preserve">Total energy consumed over lifespan: 5 years * 20 kWh/year = 100 kWh</w:t>
      </w:r>
    </w:p>
    <w:p>
      <w:pPr>
        <w:numPr>
          <w:ilvl w:val="0"/>
          <w:numId w:val="1012"/>
        </w:numPr>
        <w:pStyle w:val="Compact"/>
      </w:pPr>
      <w:r>
        <w:t xml:space="preserve">Emissions: 100 kWh * 0.20 kgCO2e/kWh =</w:t>
      </w:r>
      <w:r>
        <w:t xml:space="preserve"> </w:t>
      </w:r>
      <w:r>
        <w:rPr>
          <w:bCs/>
          <w:b/>
        </w:rPr>
        <w:t xml:space="preserve">20.00 kgCO2e</w:t>
      </w:r>
    </w:p>
    <w:p>
      <w:pPr>
        <w:pStyle w:val="FirstParagraph"/>
      </w:pPr>
      <w:r>
        <w:rPr>
          <w:bCs/>
          <w:b/>
        </w:rPr>
        <w:t xml:space="preserve">Total Use Phase Emissions = 20.00 kgCO2e</w:t>
      </w:r>
    </w:p>
    <w:bookmarkEnd w:id="41"/>
    <w:bookmarkStart w:id="42" w:name="end-of-life-eol-scope-3-category-12"/>
    <w:p>
      <w:pPr>
        <w:pStyle w:val="Heading3"/>
      </w:pPr>
      <w:r>
        <w:t xml:space="preserve">3.5 End-of-Life (EoL) (Scope 3, Category 12)</w:t>
      </w:r>
    </w:p>
    <w:p>
      <w:pPr>
        <w:pStyle w:val="FirstParagraph"/>
      </w:pPr>
      <w:r>
        <w:t xml:space="preserve">Impacts from disposal and benefits from recycling.</w:t>
      </w:r>
    </w:p>
    <w:p>
      <w:pPr>
        <w:numPr>
          <w:ilvl w:val="0"/>
          <w:numId w:val="1013"/>
        </w:numPr>
        <w:pStyle w:val="Compact"/>
      </w:pPr>
      <w:r>
        <w:t xml:space="preserve">Recyclable portion of material emissions: Based on 70% recyclability of the initial material emissions (4.85 kgCO2e * 0.70 = 3.395 kgCO2e).</w:t>
      </w:r>
    </w:p>
    <w:p>
      <w:pPr>
        <w:numPr>
          <w:ilvl w:val="0"/>
          <w:numId w:val="1013"/>
        </w:numPr>
        <w:pStyle w:val="Compact"/>
      </w:pPr>
      <w:r>
        <w:t xml:space="preserve">Recycling Credit: Assuming an avoided burden credit of 50% of the virgin material emissions for the recyclable portion = - (3.395 kgCO2e * 0.50) = -1.6975 kgCO2e.</w:t>
      </w:r>
    </w:p>
    <w:p>
      <w:pPr>
        <w:numPr>
          <w:ilvl w:val="0"/>
          <w:numId w:val="1013"/>
        </w:numPr>
        <w:pStyle w:val="Compact"/>
      </w:pPr>
      <w:r>
        <w:t xml:space="preserve">Disposal emissions (non-recyclable, e.g., landfill/incineration): 0.50 kgCO2e/unit (illustrative, covering remaining material, electronic waste not fully recycled, etc.)</w:t>
      </w:r>
    </w:p>
    <w:p>
      <w:pPr>
        <w:pStyle w:val="FirstParagraph"/>
      </w:pPr>
      <w:r>
        <w:rPr>
          <w:bCs/>
          <w:b/>
        </w:rPr>
        <w:t xml:space="preserve">Total End-of-Life Impact = -1.6975 kgCO2e (Credit) + 0.50 kgCO2e (Disposal) = -1.20 kgCO2e (approx)</w:t>
      </w:r>
    </w:p>
    <w:bookmarkEnd w:id="42"/>
    <w:bookmarkStart w:id="43" w:name="summary-of-product-carbon-footprint"/>
    <w:p>
      <w:pPr>
        <w:pStyle w:val="Heading3"/>
      </w:pPr>
      <w:r>
        <w:t xml:space="preserve">3.6 Summary of Product Carbon Footprint</w:t>
      </w:r>
    </w:p>
    <w:p>
      <w:pPr>
        <w:pStyle w:val="FirstParagraph"/>
      </w:pPr>
      <w:r>
        <w:t xml:space="preserve">The table below summarizes the calculated GHG emissions across all lifecycle stages for one functional unit of</w:t>
      </w:r>
      <w:r>
        <w:t xml:space="preserve"> </w:t>
      </w:r>
      <w:r>
        <w:rPr>
          <w:bCs/>
          <w:b/>
        </w:rPr>
        <w:t xml:space="preserve">tdzejfvnwu</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Processing</w:t>
            </w:r>
          </w:p>
        </w:tc>
        <w:tc>
          <w:tcPr/>
          <w:p>
            <w:pPr>
              <w:pStyle w:val="Compact"/>
              <w:jc w:val="left"/>
            </w:pPr>
            <w:r>
              <w:t xml:space="preserve">Scope 3 (Cat 1)</w:t>
            </w:r>
          </w:p>
        </w:tc>
        <w:tc>
          <w:tcPr/>
          <w:p>
            <w:pPr>
              <w:pStyle w:val="Compact"/>
              <w:jc w:val="left"/>
            </w:pPr>
            <w:r>
              <w:t xml:space="preserve">4.85</w:t>
            </w:r>
          </w:p>
        </w:tc>
      </w:tr>
      <w:tr>
        <w:tc>
          <w:tcPr/>
          <w:p>
            <w:pPr>
              <w:pStyle w:val="Compact"/>
              <w:jc w:val="left"/>
            </w:pPr>
            <w:r>
              <w:t xml:space="preserve">Manufacturing (Production)</w:t>
            </w:r>
          </w:p>
        </w:tc>
        <w:tc>
          <w:tcPr/>
          <w:p>
            <w:pPr>
              <w:pStyle w:val="Compact"/>
              <w:jc w:val="left"/>
            </w:pPr>
            <w:r>
              <w:t xml:space="preserve">Scope 1 &amp; 2</w:t>
            </w:r>
          </w:p>
        </w:tc>
        <w:tc>
          <w:tcPr/>
          <w:p>
            <w:pPr>
              <w:pStyle w:val="Compact"/>
              <w:jc w:val="left"/>
            </w:pPr>
            <w:r>
              <w:t xml:space="preserve">2.55</w:t>
            </w:r>
          </w:p>
        </w:tc>
      </w:tr>
      <w:tr>
        <w:tc>
          <w:tcPr/>
          <w:p>
            <w:pPr>
              <w:pStyle w:val="Compact"/>
              <w:jc w:val="left"/>
            </w:pPr>
            <w:r>
              <w:t xml:space="preserve">Transportation (Upstream &amp; Downstream)</w:t>
            </w:r>
          </w:p>
        </w:tc>
        <w:tc>
          <w:tcPr/>
          <w:p>
            <w:pPr>
              <w:pStyle w:val="Compact"/>
              <w:jc w:val="left"/>
            </w:pPr>
            <w:r>
              <w:t xml:space="preserve">Scope 3 (Cat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-1.20</w:t>
            </w:r>
          </w:p>
        </w:tc>
      </w:tr>
      <w:tr>
        <w:tc>
          <w:tcPr>
            <w:gridSpan w:val="2"/>
          </w:tcPr>
          <w:p>
            <w:pPr>
              <w:pStyle w:val="Compact"/>
              <w:jc w:val="right"/>
            </w:pPr>
            <w:r>
              <w:t xml:space="preserve">TOTAL PRODUCT CARBON FOOTPRINT</w:t>
            </w:r>
          </w:p>
        </w:tc>
        <w:tc>
          <w:tcPr/>
          <w:p>
            <w:pPr>
              <w:pStyle w:val="Compact"/>
              <w:jc w:val="left"/>
            </w:pPr>
            <w:r>
              <w:rPr>
                <w:bCs/>
                <w:b/>
              </w:rPr>
              <w:t xml:space="preserve">26.57</w:t>
            </w:r>
          </w:p>
        </w:tc>
      </w:tr>
    </w:tbl>
    <w:p>
      <w:pPr>
        <w:pStyle w:val="BodyText"/>
      </w:pPr>
      <w:r>
        <w:rPr>
          <w:bCs/>
          <w:b/>
        </w:rPr>
        <w:t xml:space="preserve">Final Product Carbon Footprint for tdzejfvnwu = 26.57 kgCO2e per unit</w:t>
      </w:r>
    </w:p>
    <w:p>
      <w:r>
        <w:pict>
          <v:rect style="width:0;height:1.5pt" o:hralign="center" o:hrstd="t" o:hr="t"/>
        </w:pict>
      </w:r>
    </w:p>
    <w:bookmarkEnd w:id="43"/>
    <w:bookmarkStart w:id="44" w:name="review-report-step-5"/>
    <w:p>
      <w:pPr>
        <w:pStyle w:val="Heading2"/>
      </w:pPr>
      <w:r>
        <w:t xml:space="preserve">4. Review &amp; Report (Step 5)</w:t>
      </w:r>
    </w:p>
    <w:bookmarkEnd w:id="44"/>
    <w:bookmarkStart w:id="45" w:name="emission-hotspots"/>
    <w:p>
      <w:pPr>
        <w:pStyle w:val="Heading3"/>
      </w:pPr>
      <w:r>
        <w:t xml:space="preserve">4.1 Emission Hotspots</w:t>
      </w:r>
    </w:p>
    <w:p>
      <w:pPr>
        <w:pStyle w:val="FirstParagraph"/>
      </w:pPr>
      <w:r>
        <w:t xml:space="preserve">The analysis identifies the following key emission hotspots for</w:t>
      </w:r>
      <w:r>
        <w:t xml:space="preserve"> </w:t>
      </w:r>
      <w:r>
        <w:rPr>
          <w:bCs/>
          <w:b/>
        </w:rPr>
        <w:t xml:space="preserve">tdzejfvnwu</w:t>
      </w:r>
      <w:r>
        <w:t xml:space="preserve">:</w:t>
      </w:r>
    </w:p>
    <w:p>
      <w:pPr>
        <w:numPr>
          <w:ilvl w:val="0"/>
          <w:numId w:val="1014"/>
        </w:numPr>
        <w:pStyle w:val="Compact"/>
      </w:pPr>
      <w:r>
        <w:rPr>
          <w:bCs/>
          <w:b/>
        </w:rPr>
        <w:t xml:space="preserve">Use Phase (20.00 kgCO2e):</w:t>
      </w:r>
      <w:r>
        <w:t xml:space="preserve"> </w:t>
      </w:r>
      <w:r>
        <w:t xml:space="preserve">This is the most significant contributor to the total PCF, primarily due to electricity consumption over the product\'s 5-year lifespan. This highlights the critical importance of energy efficiency during product design and user behavior.</w:t>
      </w:r>
    </w:p>
    <w:p>
      <w:pPr>
        <w:numPr>
          <w:ilvl w:val="0"/>
          <w:numId w:val="1014"/>
        </w:numPr>
        <w:pStyle w:val="Compact"/>
      </w:pPr>
      <w:r>
        <w:rPr>
          <w:bCs/>
          <w:b/>
        </w:rPr>
        <w:t xml:space="preserve">Materials Acquisition &amp; Processing (4.85 kgCO2e):</w:t>
      </w:r>
      <w:r>
        <w:t xml:space="preserve"> </w:t>
      </w:r>
      <w:r>
        <w:t xml:space="preserve">Raw material extraction and processing, particularly for high-impact materials like aluminum, constitute the second largest hotspot.</w:t>
      </w:r>
    </w:p>
    <w:p>
      <w:pPr>
        <w:numPr>
          <w:ilvl w:val="0"/>
          <w:numId w:val="1014"/>
        </w:numPr>
        <w:pStyle w:val="Compact"/>
      </w:pPr>
      <w:r>
        <w:rPr>
          <w:bCs/>
          <w:b/>
        </w:rPr>
        <w:t xml:space="preserve">Manufacturing (Production) (2.55 kgCO2e):</w:t>
      </w:r>
      <w:r>
        <w:t xml:space="preserve"> </w:t>
      </w:r>
      <w:r>
        <w:t xml:space="preserve">Energy consumption during production, even with 50% renewable energy usage, remains a notable contributor.</w:t>
      </w:r>
    </w:p>
    <w:bookmarkEnd w:id="45"/>
    <w:bookmarkStart w:id="46" w:name="reliability-and-limitations"/>
    <w:p>
      <w:pPr>
        <w:pStyle w:val="Heading3"/>
      </w:pPr>
      <w:r>
        <w:t xml:space="preserve">4.2 Reliability and Limitations</w:t>
      </w:r>
    </w:p>
    <w:p>
      <w:pPr>
        <w:pStyle w:val="FirstParagraph"/>
      </w:pPr>
      <w:r>
        <w:t xml:space="preserve">The reliability of this PCF analysis is high due to adherence to GHG Protocol standards and the detailed BOM provided. However, the accuracy is dependent on the quality of underlying emission factors and activity data.</w:t>
      </w:r>
    </w:p>
    <w:p>
      <w:pPr>
        <w:numPr>
          <w:ilvl w:val="0"/>
          <w:numId w:val="1015"/>
        </w:numPr>
        <w:pStyle w:val="Compact"/>
      </w:pPr>
      <w:r>
        <w:rPr>
          <w:bCs/>
          <w:b/>
        </w:rPr>
        <w:t xml:space="preserve">Data Assumptions:</w:t>
      </w:r>
      <w:r>
        <w:t xml:space="preserve"> </w:t>
      </w:r>
      <w:r>
        <w:t xml:space="preserve">Where specific data for `Select Mode`, `wpfzlixikz`, `Delivery Type`, `xghmdwyepx`, `zihdyigojm`, `shzjtrzetq`, `jymuvhjylk`, `udfkgkrluo`, `iikmwukwyz` were placeholders, industry-average or plausible illustrative data was used. Replacing these with primary, product-specific data will enhance accuracy.</w:t>
      </w:r>
    </w:p>
    <w:p>
      <w:pPr>
        <w:numPr>
          <w:ilvl w:val="0"/>
          <w:numId w:val="1015"/>
        </w:numPr>
        <w:pStyle w:val="Compact"/>
      </w:pPr>
      <w:r>
        <w:rPr>
          <w:bCs/>
          <w:b/>
        </w:rPr>
        <w:t xml:space="preserve">Emission Factors:</w:t>
      </w:r>
      <w:r>
        <w:t xml:space="preserve"> </w:t>
      </w:r>
      <w:r>
        <w:t xml:space="preserve">Generic industry-standard emission factors were used. Product-specific or supplier-specific emission factors would provide a more precise calculation. For grid electricity, 2026 forecasts were used based on available information.</w:t>
      </w:r>
    </w:p>
    <w:p>
      <w:pPr>
        <w:numPr>
          <w:ilvl w:val="0"/>
          <w:numId w:val="1015"/>
        </w:numPr>
        <w:pStyle w:val="Compact"/>
      </w:pPr>
      <w:r>
        <w:rPr>
          <w:bCs/>
          <w:b/>
        </w:rPr>
        <w:t xml:space="preserve">System Boundary:</w:t>
      </w:r>
      <w:r>
        <w:t xml:space="preserve"> </w:t>
      </w:r>
      <w:r>
        <w:t xml:space="preserve">While a cradle-to-grave approach was taken, the term \'factory_gate\' implies a primary focus on production emissions. All relevant lifecycle stages have been included to meet comprehensive PCF reporting needs.</w:t>
      </w:r>
    </w:p>
    <w:bookmarkEnd w:id="46"/>
    <w:bookmarkStart w:id="47" w:name="recommendations-for-emission-reduction"/>
    <w:p>
      <w:pPr>
        <w:pStyle w:val="Heading3"/>
      </w:pPr>
      <w:r>
        <w:t xml:space="preserve">4.3 Recommendations for Emission Reduction</w:t>
      </w:r>
    </w:p>
    <w:p>
      <w:pPr>
        <w:pStyle w:val="FirstParagraph"/>
      </w:pPr>
      <w:r>
        <w:t xml:space="preserve">Based on the hotspots identified,</w:t>
      </w:r>
      <w:r>
        <w:t xml:space="preserve"> </w:t>
      </w:r>
      <w:r>
        <w:rPr>
          <w:bCs/>
          <w:b/>
        </w:rPr>
        <w:t xml:space="preserve">ywzxoglxjk</w:t>
      </w:r>
      <w:r>
        <w:t xml:space="preserve"> </w:t>
      </w:r>
      <w:r>
        <w:t xml:space="preserve">can focus on the following strategies to reduce the carbon footprint of</w:t>
      </w:r>
      <w:r>
        <w:t xml:space="preserve"> </w:t>
      </w:r>
      <w:r>
        <w:rPr>
          <w:bCs/>
          <w:b/>
        </w:rPr>
        <w:t xml:space="preserve">tdzejfvnwu</w:t>
      </w:r>
      <w:r>
        <w:t xml:space="preserve">:</w:t>
      </w:r>
    </w:p>
    <w:p>
      <w:pPr>
        <w:numPr>
          <w:ilvl w:val="0"/>
          <w:numId w:val="1016"/>
        </w:numPr>
        <w:pStyle w:val="Compact"/>
      </w:pPr>
      <w:r>
        <w:rPr>
          <w:bCs/>
          <w:b/>
        </w:rPr>
        <w:t xml:space="preserve">Optimize Use Phase Energy Efficiency:</w:t>
      </w:r>
      <w:r>
        <w:t xml:space="preserve"> </w:t>
      </w:r>
      <w:r>
        <w:t xml:space="preserve">Redesign the product for significantly lower energy consumption during its use. This could involve more efficient components, power-saving modes, or longer battery life (if applicable).</w:t>
      </w:r>
    </w:p>
    <w:p>
      <w:pPr>
        <w:numPr>
          <w:ilvl w:val="0"/>
          <w:numId w:val="1016"/>
        </w:numPr>
        <w:pStyle w:val="Compact"/>
      </w:pPr>
      <w:r>
        <w:rPr>
          <w:bCs/>
          <w:b/>
        </w:rPr>
        <w:t xml:space="preserve">Source Low-Carbon Materials:</w:t>
      </w:r>
      <w:r>
        <w:t xml:space="preserve"> </w:t>
      </w:r>
      <w:r>
        <w:t xml:space="preserve">Investigate alternative materials with lower embedded carbon (e.g., recycled aluminum, bio-based plastics) or work with suppliers to reduce the footprint of existing materials.</w:t>
      </w:r>
    </w:p>
    <w:p>
      <w:pPr>
        <w:numPr>
          <w:ilvl w:val="0"/>
          <w:numId w:val="1016"/>
        </w:numPr>
        <w:pStyle w:val="Compact"/>
      </w:pPr>
      <w:r>
        <w:rPr>
          <w:bCs/>
          <w:b/>
        </w:rPr>
        <w:t xml:space="preserve">Increase Renewable Energy Sourcing:</w:t>
      </w:r>
      <w:r>
        <w:t xml:space="preserve"> </w:t>
      </w:r>
      <w:r>
        <w:t xml:space="preserve">Further increase the percentage of renewable energy used in manufacturing beyond the current 50%, potentially exploring on-site generation or higher-quality renewable energy credits.</w:t>
      </w:r>
    </w:p>
    <w:p>
      <w:pPr>
        <w:numPr>
          <w:ilvl w:val="0"/>
          <w:numId w:val="1016"/>
        </w:numPr>
        <w:pStyle w:val="Compact"/>
      </w:pPr>
      <w:r>
        <w:rPr>
          <w:bCs/>
          <w:b/>
        </w:rPr>
        <w:t xml:space="preserve">Enhance Circular Economy Initiatives:</w:t>
      </w:r>
      <w:r>
        <w:t xml:space="preserve"> </w:t>
      </w:r>
      <w:r>
        <w:t xml:space="preserve">Expand take-back and recycling programs to achieve higher recyclability rates and explore opportunities for material reuse or refurbishment to maximize circularity.</w:t>
      </w:r>
    </w:p>
    <w:p>
      <w:pPr>
        <w:numPr>
          <w:ilvl w:val="0"/>
          <w:numId w:val="1016"/>
        </w:numPr>
        <w:pStyle w:val="Compact"/>
      </w:pPr>
      <w:r>
        <w:rPr>
          <w:bCs/>
          <w:b/>
        </w:rPr>
        <w:t xml:space="preserve">Supply Chain Optimization:</w:t>
      </w:r>
      <w:r>
        <w:t xml:space="preserve"> </w:t>
      </w:r>
      <w:r>
        <w:t xml:space="preserve">While transportation is a smaller hotspot, optimizing logistics routes, consolidating shipments, and exploring lower-emission transport modes could offer incremental reductions.</w:t>
      </w:r>
    </w:p>
    <w:p>
      <w:r>
        <w:pict>
          <v:rect style="width:0;height:1.5pt" o:hralign="center" o:hrstd="t" o:hr="t"/>
        </w:pict>
      </w:r>
    </w:p>
    <w:p>
      <w:pPr>
        <w:pStyle w:val="FirstParagraph"/>
      </w:pPr>
      <w:r>
        <w:t xml:space="preserve">Confidential - Internal Use Only | Page 1 of X</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tdzejfvnwu</dc:title>
  <dc:creator/>
  <dc:description>A detailed Product Carbon Footprint (PCF) analysis report for tdzejfvnwu, adhering to GHG Protocol standards and incorporating the 2026 LSR update, prepared by xzldzkgjjt for ywzxoglxjk.</dc:description>
  <cp:keywords/>
  <dcterms:created xsi:type="dcterms:W3CDTF">2026-07-15T07:05:19Z</dcterms:created>
  <dcterms:modified xsi:type="dcterms:W3CDTF">2026-07-15T07:05:19Z</dcterms:modified>
</cp:coreProperties>
</file>

<file path=docProps/custom.xml><?xml version="1.0" encoding="utf-8"?>
<Properties xmlns="http://schemas.openxmlformats.org/officeDocument/2006/custom-properties" xmlns:vt="http://schemas.openxmlformats.org/officeDocument/2006/docPropsVTypes"/>
</file>