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tduwlhvgwk</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tduwlhvgwk</w:t>
      </w:r>
    </w:p>
    <w:p>
      <w:pPr>
        <w:pStyle w:val="BodyText"/>
      </w:pPr>
      <w:r>
        <w:rPr>
          <w:bCs/>
          <w:b/>
        </w:rPr>
        <w:t xml:space="preserve">Company Name:</w:t>
      </w:r>
      <w:r>
        <w:t xml:space="preserve"> </w:t>
      </w:r>
      <w:r>
        <w:t xml:space="preserve">wyqvwvyzxz</w:t>
      </w:r>
    </w:p>
    <w:p>
      <w:pPr>
        <w:pStyle w:val="BodyText"/>
      </w:pPr>
      <w:r>
        <w:rPr>
          <w:bCs/>
          <w:b/>
        </w:rPr>
        <w:t xml:space="preserve">Senior Sustainability Consultant:</w:t>
      </w:r>
      <w:r>
        <w:t xml:space="preserve"> </w:t>
      </w:r>
      <w:r>
        <w:t xml:space="preserve">nnjyhzphdx</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Due to the placeholder nature of some input parameters (e.g., Detailed Bill of Materials, specific transport data, energy usage, lifespan, recyclability, and circular programs), example values consistent with the specified formats have been assumed for calculation purposes. The conclusions and figures herein serve as a methodological demonstration and may not reflect the precise carbon footprint of the actual product without validated, specific data inputs.</w:t>
      </w:r>
    </w:p>
    <w:bookmarkEnd w:id="20"/>
    <w:bookmarkStart w:id="49" w:name="Xd14edbe947e625e77c9ec0d68a3ec1f85d1d485"/>
    <w:p>
      <w:pPr>
        <w:pStyle w:val="Heading1"/>
      </w:pPr>
      <w:r>
        <w:t xml:space="preserve">Product Carbon Footprint Analysis for tduwlhvgwk</w:t>
      </w:r>
    </w:p>
    <w:p>
      <w:pPr>
        <w:pStyle w:val="FirstParagraph"/>
      </w:pPr>
      <w:r>
        <w:rPr>
          <w:bCs/>
          <w:b/>
        </w:rPr>
        <w:t xml:space="preserve">Generated Date:</w:t>
      </w:r>
      <w:r>
        <w:t xml:space="preserve"> </w:t>
      </w:r>
      <w:r>
        <w:t xml:space="preserve">May 21, 2026</w:t>
      </w:r>
    </w:p>
    <w:p>
      <w:pPr>
        <w:pStyle w:val="BodyText"/>
      </w:pPr>
      <w:r>
        <w:rPr>
          <w:bCs/>
          <w:b/>
        </w:rPr>
        <w:t xml:space="preserve">Senior Sustainability Consultant:</w:t>
      </w:r>
      <w:r>
        <w:t xml:space="preserve"> </w:t>
      </w:r>
      <w:r>
        <w:t xml:space="preserve">nnjyhzphdx</w:t>
      </w:r>
    </w:p>
    <w:p>
      <w:pPr>
        <w:pStyle w:val="BodyText"/>
      </w:pPr>
      <w:r>
        <w:rPr>
          <w:bCs/>
          <w:b/>
        </w:rPr>
        <w:t xml:space="preserve">Company:</w:t>
      </w:r>
      <w:r>
        <w:t xml:space="preserve"> </w:t>
      </w:r>
      <w:r>
        <w:t xml:space="preserve">wyqvwvyzxz</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"tduwlhvgwk" manufactured by "wyqvwvyzxz". The analysis adheres strictly to the GHG Protocol accounting standard, incorporating the 2026 Land Sector and Removals (LSR) Standard update and aiming for at least 95% Scope 3 coverage. As Senior Sustainability Consultant nnjyhzphdx, this analysis aims to identify key emission hotspots across the product\'s lifecycle, from material acquisition to end-of-life. Due to the nature of certain input parameters provided as placeholders, example data has been utilized to demonstrate the robust methodology. The findings highlight significant areas for potential carbon reduction and inform strategic sustainability initiatives for wyqvwvyzxz.</w:t>
      </w:r>
    </w:p>
    <w:p>
      <w:r>
        <w:pict>
          <v:rect style="width:0;height:1.5pt" o:hralign="center" o:hrstd="t" o:hr="t"/>
        </w:pict>
      </w:r>
    </w:p>
    <w:bookmarkEnd w:id="21"/>
    <w:bookmarkStart w:id="22" w:name="defining-the-scope"/>
    <w:p>
      <w:pPr>
        <w:pStyle w:val="Heading2"/>
      </w:pPr>
      <w:r>
        <w:t xml:space="preserve">1. Defining the Scope</w:t>
      </w:r>
    </w:p>
    <w:p>
      <w:pPr>
        <w:pStyle w:val="FirstParagraph"/>
      </w:pPr>
      <w:r>
        <w:t xml:space="preserve">The first step in a Product Carbon Footprint analysis is to clearly define the scope, ensuring all relevant emissions are captured consistently.</w:t>
      </w:r>
    </w:p>
    <w:p>
      <w:pPr>
        <w:numPr>
          <w:ilvl w:val="0"/>
          <w:numId w:val="1001"/>
        </w:numPr>
        <w:pStyle w:val="Compact"/>
      </w:pPr>
      <w:r>
        <w:rPr>
          <w:bCs/>
          <w:b/>
        </w:rPr>
        <w:t xml:space="preserve">Functional Unit:</w:t>
      </w:r>
      <w:r>
        <w:t xml:space="preserve"> </w:t>
      </w:r>
      <w:r>
        <w:t xml:space="preserve">The functional unit for this PCF is defined as</w:t>
      </w:r>
      <w:r>
        <w:t xml:space="preserve"> </w:t>
      </w:r>
      <w:r>
        <w:rPr>
          <w:bCs/>
          <w:b/>
        </w:rPr>
        <w:t xml:space="preserve">1.0 unit</w:t>
      </w:r>
      <w:r>
        <w:t xml:space="preserve"> </w:t>
      </w:r>
      <w:r>
        <w:t xml:space="preserve">of \'tduwlhvgwk\'.</w:t>
      </w:r>
    </w:p>
    <w:p>
      <w:pPr>
        <w:numPr>
          <w:ilvl w:val="0"/>
          <w:numId w:val="1001"/>
        </w:numPr>
        <w:pStyle w:val="Compact"/>
      </w:pPr>
      <w:r>
        <w:rPr>
          <w:bCs/>
          <w:b/>
        </w:rPr>
        <w:t xml:space="preserve">System Boundary:</w:t>
      </w:r>
      <w:r>
        <w:t xml:space="preserve"> </w:t>
      </w:r>
      <w:r>
        <w:t xml:space="preserve">The system boundary for this analysis is defined as</w:t>
      </w:r>
      <w:r>
        <w:t xml:space="preserve"> </w:t>
      </w:r>
      <w:r>
        <w:rPr>
          <w:bCs/>
          <w:b/>
        </w:rPr>
        <w:t xml:space="preserve">cradle-to-grave</w:t>
      </w:r>
      <w:r>
        <w:t xml:space="preserve">, encompassing all stages from raw material extraction, through manufacturing (with a focus on</w:t>
      </w:r>
      <w:r>
        <w:t xml:space="preserve"> </w:t>
      </w:r>
      <w:r>
        <w:rPr>
          <w:bCs/>
          <w:b/>
        </w:rPr>
        <w:t xml:space="preserve">factory_gate</w:t>
      </w:r>
      <w:r>
        <w:t xml:space="preserve"> </w:t>
      </w:r>
      <w:r>
        <w:t xml:space="preserve">for production emissions), distribution, use phase, and end-of-life.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This PCF analysis strictly follows the</w:t>
      </w:r>
      <w:r>
        <w:t xml:space="preserve"> </w:t>
      </w:r>
      <w:r>
        <w:rPr>
          <w:bCs/>
          <w:b/>
        </w:rPr>
        <w:t xml:space="preserve">GHG Protocol</w:t>
      </w:r>
      <w:r>
        <w:t xml:space="preserve"> </w:t>
      </w:r>
      <w:r>
        <w:t xml:space="preserve">standards.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Where multi-functional processes occur (e.g., co-production, recycling), appropriate allocation methods (e.g., mass-based, economic-based) are applied to attribute environmental burdens to the product tduwlhvgwk.</w:t>
      </w:r>
    </w:p>
    <w:p>
      <w:r>
        <w:pict>
          <v:rect style="width:0;height:1.5pt" o:hralign="center" o:hrstd="t" o:hr="t"/>
        </w:pict>
      </w:r>
    </w:p>
    <w:bookmarkEnd w:id="22"/>
    <w:bookmarkStart w:id="28" w:name="mapping-the-lifecycle-3.-collecting-data"/>
    <w:p>
      <w:pPr>
        <w:pStyle w:val="Heading2"/>
      </w:pPr>
      <w:r>
        <w:t xml:space="preserve">2. Mapping the Lifecycle &amp; 3. Collecting Data</w:t>
      </w:r>
    </w:p>
    <w:p>
      <w:pPr>
        <w:pStyle w:val="FirstParagraph"/>
      </w:pPr>
      <w:r>
        <w:t xml:space="preserve">The lifecycle of tduwlhvgwk is mapped out, identifying all stages from raw material acquisition to end-of-life. Data collection focuses on gathering primary data where available and supplementing with high-quality secondary data (industry-standard emission factors) from sources like Ecoinvent and DEFRA for activity data.</w:t>
      </w:r>
    </w:p>
    <w:bookmarkStart w:id="23" w:name="X1198c8af25dd1a2ebffa686809674f976343a37"/>
    <w:p>
      <w:pPr>
        <w:pStyle w:val="Heading3"/>
      </w:pPr>
      <w:r>
        <w:t xml:space="preserve">2.1. Material Acquisition &amp; Pre-processing (Scope 3 - Upstream)</w:t>
      </w:r>
    </w:p>
    <w:p>
      <w:pPr>
        <w:pStyle w:val="FirstParagraph"/>
      </w:pPr>
      <w:r>
        <w:t xml:space="preserve">The Detailed Bill of Materials (BOM) for \'tduwlhvgwk\' is crucial for accurately assessing the upstream impacts. As the provided BOM data `ittexwjv` was a placeholder string, the following table presents an illustrative BOM using the specified format for detailed material impact calculation. These example values are used in the subsequent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Recycled Aluminum Alloy</w:t>
            </w:r>
          </w:p>
        </w:tc>
        <w:tc>
          <w:tcPr/>
          <w:p>
            <w:pPr>
              <w:pStyle w:val="Compact"/>
              <w:jc w:val="left"/>
            </w:pPr>
            <w:r>
              <w:t xml:space="preserve">Metals</w:t>
            </w:r>
          </w:p>
        </w:tc>
        <w:tc>
          <w:tcPr/>
          <w:p>
            <w:pPr>
              <w:pStyle w:val="Compact"/>
              <w:jc w:val="left"/>
            </w:pPr>
            <w:r>
              <w:t xml:space="preserve">Primary Metal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ABS Plastic Granules</w:t>
            </w:r>
          </w:p>
        </w:tc>
        <w:tc>
          <w:tcPr/>
          <w:p>
            <w:pPr>
              <w:pStyle w:val="Compact"/>
              <w:jc w:val="left"/>
            </w:pPr>
            <w:r>
              <w:t xml:space="preserve">Plastics</w:t>
            </w:r>
          </w:p>
        </w:tc>
        <w:tc>
          <w:tcPr/>
          <w:p>
            <w:pPr>
              <w:pStyle w:val="Compact"/>
              <w:jc w:val="left"/>
            </w:pPr>
            <w:r>
              <w:t xml:space="preserve">Polymerization &amp;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4.5</w:t>
            </w:r>
          </w:p>
        </w:tc>
        <w:tc>
          <w:tcPr/>
          <w:p>
            <w:pPr>
              <w:pStyle w:val="Compact"/>
              <w:jc w:val="left"/>
            </w:pPr>
            <w:r>
              <w:t xml:space="preserve">0.90</w:t>
            </w:r>
          </w:p>
        </w:tc>
      </w:tr>
      <w:tr>
        <w:tc>
          <w:tcPr/>
          <w:p>
            <w:pPr>
              <w:pStyle w:val="Compact"/>
              <w:jc w:val="left"/>
            </w:pPr>
            <w:r>
              <w:t xml:space="preserve">M003</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Semiconductor Manufacturing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200.0</w:t>
            </w:r>
          </w:p>
        </w:tc>
        <w:tc>
          <w:tcPr/>
          <w:p>
            <w:pPr>
              <w:pStyle w:val="Compact"/>
              <w:jc w:val="left"/>
            </w:pPr>
            <w:r>
              <w:t xml:space="preserve">2.00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0.40</w:t>
            </w:r>
          </w:p>
        </w:tc>
      </w:tr>
      <w:tr>
        <w:tc>
          <w:tcPr/>
          <w:p>
            <w:pPr>
              <w:pStyle w:val="Compact"/>
              <w:jc w:val="left"/>
            </w:pPr>
            <w:r>
              <w:t xml:space="preserve">M005</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PCB Fabrication</w:t>
            </w:r>
          </w:p>
        </w:tc>
        <w:tc>
          <w:tcPr/>
          <w:p>
            <w:pPr>
              <w:pStyle w:val="Compact"/>
              <w:jc w:val="left"/>
            </w:pPr>
            <w:r>
              <w:t xml:space="preserve">0.02</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0.50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 &amp; Paper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0.8</w:t>
            </w:r>
          </w:p>
        </w:tc>
        <w:tc>
          <w:tcPr/>
          <w:p>
            <w:pPr>
              <w:pStyle w:val="Compact"/>
              <w:jc w:val="left"/>
            </w:pPr>
            <w:r>
              <w:t xml:space="preserve">0.08</w:t>
            </w:r>
          </w:p>
        </w:tc>
      </w:tr>
    </w:tbl>
    <w:bookmarkEnd w:id="23"/>
    <w:bookmarkStart w:id="24" w:name="manufacturing-scope-1-2"/>
    <w:p>
      <w:pPr>
        <w:pStyle w:val="Heading3"/>
      </w:pPr>
      <w:r>
        <w:t xml:space="preserve">2.2. Manufacturing (Scope 1 &amp; 2)</w:t>
      </w:r>
    </w:p>
    <w:p>
      <w:pPr>
        <w:pStyle w:val="FirstParagraph"/>
      </w:pPr>
      <w:r>
        <w:t xml:space="preserve">The production phase of \'tduwlhvgwk\' occurs in China. Energy consumption is a key driver of emissions in this stage.</w:t>
      </w:r>
    </w:p>
    <w:p>
      <w:pPr>
        <w:numPr>
          <w:ilvl w:val="0"/>
          <w:numId w:val="1003"/>
        </w:numPr>
        <w:pStyle w:val="Compact"/>
      </w:pPr>
      <w:r>
        <w:rPr>
          <w:bCs/>
          <w:b/>
        </w:rPr>
        <w:t xml:space="preserve">Renewable Energy Usage:</w:t>
      </w:r>
      <w:r>
        <w:t xml:space="preserve"> </w:t>
      </w:r>
      <w:r>
        <w:t xml:space="preserve">The facility utilizes a high proportion of renewable energy. For the purpose of this analysis, the placeholder `ftemzenhrl` is interpreted as</w:t>
      </w:r>
      <w:r>
        <w:t xml:space="preserve"> </w:t>
      </w:r>
      <w:r>
        <w:rPr>
          <w:bCs/>
          <w:b/>
        </w:rPr>
        <w:t xml:space="preserve">70% renewable energy usage</w:t>
      </w:r>
      <w:r>
        <w:t xml:space="preserve">.</w:t>
      </w:r>
    </w:p>
    <w:p>
      <w:pPr>
        <w:numPr>
          <w:ilvl w:val="0"/>
          <w:numId w:val="1003"/>
        </w:numPr>
        <w:pStyle w:val="Compact"/>
      </w:pPr>
      <w:r>
        <w:rPr>
          <w:bCs/>
          <w:b/>
        </w:rPr>
        <w:t xml:space="preserve">Energy Intensity (kWh/unit):</w:t>
      </w:r>
      <w:r>
        <w:t xml:space="preserve"> </w:t>
      </w:r>
      <w:r>
        <w:t xml:space="preserve">The energy consumed per unit of product is significant. The placeholder `ipzlhmxilo` is interpreted as an energy intensity of</w:t>
      </w:r>
      <w:r>
        <w:t xml:space="preserve"> </w:t>
      </w:r>
      <w:r>
        <w:rPr>
          <w:bCs/>
          <w:b/>
        </w:rPr>
        <w:t xml:space="preserve">5 kWh/unit</w:t>
      </w:r>
      <w:r>
        <w:t xml:space="preserve">.</w:t>
      </w:r>
    </w:p>
    <w:p>
      <w:pPr>
        <w:numPr>
          <w:ilvl w:val="0"/>
          <w:numId w:val="1003"/>
        </w:numPr>
        <w:pStyle w:val="Compact"/>
      </w:pPr>
      <w:r>
        <w:rPr>
          <w:bCs/>
          <w:b/>
        </w:rPr>
        <w:t xml:space="preserve">Direct Emissions (Scope 1):</w:t>
      </w:r>
      <w:r>
        <w:t xml:space="preserve"> </w:t>
      </w:r>
      <w:r>
        <w:t xml:space="preserve">Any on-site fuel combustion (e.g., natural gas for heating) directly attributable to the manufacturing process of \'tduwlhvgwk\'. For this report, direct manufacturing process emissions are considered negligible or part of the electricity generation process.</w:t>
      </w:r>
    </w:p>
    <w:p>
      <w:pPr>
        <w:numPr>
          <w:ilvl w:val="0"/>
          <w:numId w:val="1003"/>
        </w:numPr>
        <w:pStyle w:val="Compact"/>
      </w:pPr>
      <w:r>
        <w:rPr>
          <w:bCs/>
          <w:b/>
        </w:rPr>
        <w:t xml:space="preserve">Indirect Emissions from Purchased Electricity (Scope 2):</w:t>
      </w:r>
      <w:r>
        <w:t xml:space="preserve"> </w:t>
      </w:r>
      <w:r>
        <w:t xml:space="preserve">Emissions from purchased electricity, adjusted for the renewable energy usage.</w:t>
      </w:r>
    </w:p>
    <w:bookmarkEnd w:id="24"/>
    <w:bookmarkStart w:id="25" w:name="Xc78fa9e95fdc5a4841e5055035e97eb6a5c3c11"/>
    <w:p>
      <w:pPr>
        <w:pStyle w:val="Heading3"/>
      </w:pPr>
      <w:r>
        <w:t xml:space="preserve">2.3. Transport &amp; Distribution (Scope 3 - Upstream &amp; Downstream)</w:t>
      </w:r>
    </w:p>
    <w:p>
      <w:pPr>
        <w:pStyle w:val="FirstParagraph"/>
      </w:pPr>
      <w:r>
        <w:t xml:space="preserve">Logistics play a critical role in the overall carbon footprint. The analysis considers both inbound logistics for materials and outbound logistics for the finished product. As the provided transport data (`Select Mode`, `tlltwxnqev`, `Delivery Type`) were placeholder strings, example values are used here.</w:t>
      </w:r>
    </w:p>
    <w:p>
      <w:pPr>
        <w:numPr>
          <w:ilvl w:val="0"/>
          <w:numId w:val="1004"/>
        </w:numPr>
        <w:pStyle w:val="Compact"/>
      </w:pPr>
      <w:r>
        <w:rPr>
          <w:bCs/>
          <w:b/>
        </w:rPr>
        <w:t xml:space="preserve">Primary Transport Mode (Example for `Select Mode`):</w:t>
      </w:r>
      <w:r>
        <w:t xml:space="preserve"> </w:t>
      </w:r>
      <w:r>
        <w:t xml:space="preserve">Road freight (Heavy Goods Vehicle - HGV)</w:t>
      </w:r>
    </w:p>
    <w:p>
      <w:pPr>
        <w:numPr>
          <w:ilvl w:val="0"/>
          <w:numId w:val="1004"/>
        </w:numPr>
        <w:pStyle w:val="Compact"/>
      </w:pPr>
      <w:r>
        <w:rPr>
          <w:bCs/>
          <w:b/>
        </w:rPr>
        <w:t xml:space="preserve">Primary Transport Distance (Example for `tlltwxnqev`):</w:t>
      </w:r>
      <w:r>
        <w:t xml:space="preserve"> </w:t>
      </w:r>
      <w:r>
        <w:t xml:space="preserve">1,500 km (e.g., from European distribution hub to regional centers)</w:t>
      </w:r>
    </w:p>
    <w:p>
      <w:pPr>
        <w:numPr>
          <w:ilvl w:val="0"/>
          <w:numId w:val="1004"/>
        </w:numPr>
        <w:pStyle w:val="Compact"/>
      </w:pPr>
      <w:r>
        <w:rPr>
          <w:bCs/>
          <w:b/>
        </w:rPr>
        <w:t xml:space="preserve">Last-Mile Delivery Channel (Example for `Delivery Type`):</w:t>
      </w:r>
      <w:r>
        <w:t xml:space="preserve"> </w:t>
      </w:r>
      <w:r>
        <w:t xml:space="preserve">Parcel delivery service via Van</w:t>
      </w:r>
    </w:p>
    <w:p>
      <w:pPr>
        <w:numPr>
          <w:ilvl w:val="0"/>
          <w:numId w:val="1004"/>
        </w:numPr>
        <w:pStyle w:val="Compact"/>
      </w:pPr>
      <w:r>
        <w:rPr>
          <w:bCs/>
          <w:b/>
        </w:rPr>
        <w:t xml:space="preserve">Supply Chain Focus:</w:t>
      </w:r>
      <w:r>
        <w:t xml:space="preserve"> </w:t>
      </w:r>
      <w:r>
        <w:t xml:space="preserve">Europe Focused</w:t>
      </w:r>
    </w:p>
    <w:bookmarkEnd w:id="25"/>
    <w:bookmarkStart w:id="26" w:name="use-phase-scope-3---downstream"/>
    <w:p>
      <w:pPr>
        <w:pStyle w:val="Heading3"/>
      </w:pPr>
      <w:r>
        <w:t xml:space="preserve">2.4. Use Phase (Scope 3 - Downstream)</w:t>
      </w:r>
    </w:p>
    <w:p>
      <w:pPr>
        <w:pStyle w:val="FirstParagraph"/>
      </w:pPr>
      <w:r>
        <w:t xml:space="preserve">The energy consumption during the product\'s lifespan is a significant contributor to its overall PCF. As the provided durability and consumption data (`mjhldeihrn`, `ifwyemuhxj`) were placeholder strings, example values are used here.</w:t>
      </w:r>
    </w:p>
    <w:p>
      <w:pPr>
        <w:numPr>
          <w:ilvl w:val="0"/>
          <w:numId w:val="1005"/>
        </w:numPr>
        <w:pStyle w:val="Compact"/>
      </w:pPr>
      <w:r>
        <w:rPr>
          <w:bCs/>
          <w:b/>
        </w:rPr>
        <w:t xml:space="preserve">Product Lifespan (Example for `mjhldeihrn`):</w:t>
      </w:r>
      <w:r>
        <w:t xml:space="preserve"> </w:t>
      </w:r>
      <w:r>
        <w:t xml:space="preserve">5 years</w:t>
      </w:r>
    </w:p>
    <w:p>
      <w:pPr>
        <w:numPr>
          <w:ilvl w:val="0"/>
          <w:numId w:val="1005"/>
        </w:numPr>
        <w:pStyle w:val="Compact"/>
      </w:pPr>
      <w:r>
        <w:rPr>
          <w:bCs/>
          <w:b/>
        </w:rPr>
        <w:t xml:space="preserve">Energy Consumption in Use (Example for `ifwyemuhxj`):</w:t>
      </w:r>
      <w:r>
        <w:t xml:space="preserve"> </w:t>
      </w:r>
      <w:r>
        <w:t xml:space="preserve">10 kWh/year (assuming average usage)</w:t>
      </w:r>
    </w:p>
    <w:bookmarkEnd w:id="26"/>
    <w:bookmarkStart w:id="27" w:name="end-of-life-eol-scope-3---downstream"/>
    <w:p>
      <w:pPr>
        <w:pStyle w:val="Heading3"/>
      </w:pPr>
      <w:r>
        <w:t xml:space="preserve">2.5. End-of-Life (EoL) (Scope 3 - Downstream)</w:t>
      </w:r>
    </w:p>
    <w:p>
      <w:pPr>
        <w:pStyle w:val="FirstParagraph"/>
      </w:pPr>
      <w:r>
        <w:t xml:space="preserve">The end-of-life stage, including recycling and disposal, offers opportunities for circularity. As the provided EoL scenarios (`ngxkorxouw`, `kktnnjyjpt`) were placeholder strings, example values are used here.</w:t>
      </w:r>
    </w:p>
    <w:p>
      <w:pPr>
        <w:numPr>
          <w:ilvl w:val="0"/>
          <w:numId w:val="1006"/>
        </w:numPr>
        <w:pStyle w:val="Compact"/>
      </w:pPr>
      <w:r>
        <w:rPr>
          <w:bCs/>
          <w:b/>
        </w:rPr>
        <w:t xml:space="preserve">Recyclability Percentage (Example for `ngxkorxouw`):</w:t>
      </w:r>
      <w:r>
        <w:t xml:space="preserve"> </w:t>
      </w:r>
      <w:r>
        <w:t xml:space="preserve">80% (assuming components are largely recyclable)</w:t>
      </w:r>
    </w:p>
    <w:p>
      <w:pPr>
        <w:numPr>
          <w:ilvl w:val="0"/>
          <w:numId w:val="1006"/>
        </w:numPr>
        <w:pStyle w:val="Compact"/>
      </w:pPr>
      <w:r>
        <w:rPr>
          <w:bCs/>
          <w:b/>
        </w:rPr>
        <w:t xml:space="preserve">Circular/Take-back Programs (Example for `kktnnjyjpt`):</w:t>
      </w:r>
      <w:r>
        <w:t xml:space="preserve"> </w:t>
      </w:r>
      <w:r>
        <w:t xml:space="preserve">Active manufacturer-led take-back program for product components, facilitating higher recycling rates and material recovery.</w:t>
      </w:r>
    </w:p>
    <w:p>
      <w:r>
        <w:pict>
          <v:rect style="width:0;height:1.5pt" o:hralign="center" o:hrstd="t" o:hr="t"/>
        </w:pict>
      </w:r>
    </w:p>
    <w:bookmarkEnd w:id="27"/>
    <w:bookmarkEnd w:id="28"/>
    <w:bookmarkStart w:id="39" w:name="X3720d7d0541b3a6e3c473bd4daa188ddb828856"/>
    <w:p>
      <w:pPr>
        <w:pStyle w:val="Heading2"/>
      </w:pPr>
      <w:r>
        <w:t xml:space="preserve">4. Calculating Emissions (Activity * Emission Factor = CO2e)</w:t>
      </w:r>
    </w:p>
    <w:p>
      <w:pPr>
        <w:pStyle w:val="FirstParagraph"/>
      </w:pPr>
      <w:r>
        <w:t xml:space="preserve">This section details the calculation of emissions for each lifecycle stage, categorized according to the GHG Protocol (Scope 1, 2, and 3). Industry-standard emission factors (e.g., Ecoinvent, DEFRA) are applied to the activity data. The GHG Protocol defines seven greenhouse gases that contribute to climate change: carbon dioxide (CO2), methane (CH4), nitrous oxide (N2O), hydrofluorocarbons (HFCs), perfluorocarbons (PFCs), sulphur hexafluoride (SF6), and nitrogen trifluoride (NF3).</w:t>
      </w:r>
    </w:p>
    <w:bookmarkStart w:id="29" w:name="emission-factors-used-examples"/>
    <w:p>
      <w:pPr>
        <w:pStyle w:val="Heading3"/>
      </w:pPr>
      <w:r>
        <w:t xml:space="preserve">4.1. Emission Factors Used (Examples)</w:t>
      </w:r>
    </w:p>
    <w:p>
      <w:pPr>
        <w:numPr>
          <w:ilvl w:val="0"/>
          <w:numId w:val="1007"/>
        </w:numPr>
        <w:pStyle w:val="Compact"/>
      </w:pPr>
      <w:r>
        <w:rPr>
          <w:bCs/>
          <w:b/>
        </w:rPr>
        <w:t xml:space="preserve">Electricity Grid (China, non-renewable portion):</w:t>
      </w:r>
      <w:r>
        <w:t xml:space="preserve"> </w:t>
      </w:r>
      <w:r>
        <w:t xml:space="preserve">~0.58 kg CO2e/kWh (IEA/MEE for China, average 2021-2022)</w:t>
      </w:r>
    </w:p>
    <w:p>
      <w:pPr>
        <w:numPr>
          <w:ilvl w:val="0"/>
          <w:numId w:val="1007"/>
        </w:numPr>
        <w:pStyle w:val="Compact"/>
      </w:pPr>
      <w:r>
        <w:rPr>
          <w:bCs/>
          <w:b/>
        </w:rPr>
        <w:t xml:space="preserve">Road Freight (HGV, long-haul):</w:t>
      </w:r>
      <w:r>
        <w:t xml:space="preserve"> </w:t>
      </w:r>
      <w:r>
        <w:t xml:space="preserve">~0.115 kg CO2e/tonne-km (DEFRA 2023, for typical cargo)</w:t>
      </w:r>
    </w:p>
    <w:p>
      <w:pPr>
        <w:numPr>
          <w:ilvl w:val="0"/>
          <w:numId w:val="1007"/>
        </w:numPr>
        <w:pStyle w:val="Compact"/>
      </w:pPr>
      <w:r>
        <w:rPr>
          <w:bCs/>
          <w:b/>
        </w:rPr>
        <w:t xml:space="preserve">Van Delivery (Last-Mile):</w:t>
      </w:r>
      <w:r>
        <w:t xml:space="preserve"> </w:t>
      </w:r>
      <w:r>
        <w:t xml:space="preserve">~0.25 kg CO2e/km (DEFRA 2023, for typical small parcel van)</w:t>
      </w:r>
    </w:p>
    <w:p>
      <w:pPr>
        <w:numPr>
          <w:ilvl w:val="0"/>
          <w:numId w:val="1007"/>
        </w:numPr>
        <w:pStyle w:val="Compact"/>
      </w:pPr>
      <w:r>
        <w:rPr>
          <w:bCs/>
          <w:b/>
        </w:rPr>
        <w:t xml:space="preserve">Material-specific factors:</w:t>
      </w:r>
      <w:r>
        <w:t xml:space="preserve"> </w:t>
      </w:r>
      <w:r>
        <w:t xml:space="preserve">As indicated in the BOM table. Avoided emissions from recycled materials can reduce energy consumption by up to 90%.</w:t>
      </w:r>
    </w:p>
    <w:p>
      <w:pPr>
        <w:numPr>
          <w:ilvl w:val="0"/>
          <w:numId w:val="1007"/>
        </w:numPr>
        <w:pStyle w:val="Compact"/>
      </w:pPr>
      <w:r>
        <w:rPr>
          <w:bCs/>
          <w:b/>
        </w:rPr>
        <w:t xml:space="preserve">End-of-Life (Landfill):</w:t>
      </w:r>
      <w:r>
        <w:t xml:space="preserve"> </w:t>
      </w:r>
      <w:r>
        <w:t xml:space="preserve">For mixed waste, direct emissions of GHG from landfill systems (primarily methane release) can be up to 300 kg CO2e/tonne (0.3 kg CO2e/kg).</w:t>
      </w:r>
      <w:r>
        <w:t xml:space="preserve"> </w:t>
      </w:r>
      <w:r>
        <w:t xml:space="preserve">The GHG Protocol uses a life-cycle approach to determine recycling emission reduction factors.</w:t>
      </w:r>
    </w:p>
    <w:p>
      <w:pPr>
        <w:numPr>
          <w:ilvl w:val="0"/>
          <w:numId w:val="1007"/>
        </w:numPr>
        <w:pStyle w:val="Compact"/>
      </w:pPr>
      <w:r>
        <w:rPr>
          <w:bCs/>
          <w:b/>
        </w:rPr>
        <w:t xml:space="preserve">Electricity Grid (Europe average, for use phase):</w:t>
      </w:r>
      <w:r>
        <w:t xml:space="preserve"> </w:t>
      </w:r>
      <w:r>
        <w:t xml:space="preserve">~0.25 kg CO2e/kWh (EU-27 average 2020-2024)</w:t>
      </w:r>
    </w:p>
    <w:bookmarkEnd w:id="29"/>
    <w:bookmarkStart w:id="38" w:name="emission-calculation-breakdown"/>
    <w:p>
      <w:pPr>
        <w:pStyle w:val="Heading3"/>
      </w:pPr>
      <w:r>
        <w:t xml:space="preserve">4.2. Emission Calculation Breakdown</w:t>
      </w:r>
    </w:p>
    <w:bookmarkStart w:id="30" w:name="scope-1-direct-emissions-manufacturing"/>
    <w:p>
      <w:pPr>
        <w:pStyle w:val="Heading4"/>
      </w:pPr>
      <w:r>
        <w:t xml:space="preserve">Scope 1: Direct Emissions (Manufacturing)</w:t>
      </w:r>
    </w:p>
    <w:p>
      <w:pPr>
        <w:pStyle w:val="FirstParagraph"/>
      </w:pPr>
      <w:r>
        <w:t xml:space="preserve">For this product analysis, assuming no direct on-site combustion processes specifically for tduwlhvgwk\'s production within the factory that aren\'t already covered by upstream energy production. Thus, Scope 1 emissions are considered negligible for the direct manufacturing process itself at the factory_gate boundary. If company-wide direct emissions exist, they would be calculated separately at the organizational level.</w:t>
      </w:r>
    </w:p>
    <w:p>
      <w:pPr>
        <w:pStyle w:val="BodyText"/>
      </w:pPr>
      <w:r>
        <w:rPr>
          <w:bCs/>
          <w:b/>
        </w:rPr>
        <w:t xml:space="preserve">Total Scope 1 Emissions: 0.00 kg CO2e</w:t>
      </w:r>
    </w:p>
    <w:bookmarkEnd w:id="30"/>
    <w:bookmarkStart w:id="31" w:name="Xb2e62b8f11a5a9687ab5a88d486345ac296c11b"/>
    <w:p>
      <w:pPr>
        <w:pStyle w:val="Heading4"/>
      </w:pPr>
      <w:r>
        <w:t xml:space="preserve">Scope 2: Indirect Emissions from Purchased Electricity (Manufacturing)</w:t>
      </w:r>
    </w:p>
    <w:p>
      <w:pPr>
        <w:numPr>
          <w:ilvl w:val="0"/>
          <w:numId w:val="1008"/>
        </w:numPr>
        <w:pStyle w:val="Compact"/>
      </w:pPr>
      <w:r>
        <w:t xml:space="preserve">Total Energy Intensity: 5 kWh/unit (from `ipzlhmxilo` example)</w:t>
      </w:r>
    </w:p>
    <w:p>
      <w:pPr>
        <w:numPr>
          <w:ilvl w:val="0"/>
          <w:numId w:val="1008"/>
        </w:numPr>
        <w:pStyle w:val="Compact"/>
      </w:pPr>
      <w:r>
        <w:t xml:space="preserve">Renewable Energy Usage: 70% (from `ftemzenhrl` example)</w:t>
      </w:r>
    </w:p>
    <w:p>
      <w:pPr>
        <w:numPr>
          <w:ilvl w:val="0"/>
          <w:numId w:val="1008"/>
        </w:numPr>
        <w:pStyle w:val="Compact"/>
      </w:pPr>
      <w:r>
        <w:t xml:space="preserve">Non-renewable Energy Portion: 30%</w:t>
      </w:r>
    </w:p>
    <w:p>
      <w:pPr>
        <w:numPr>
          <w:ilvl w:val="0"/>
          <w:numId w:val="1008"/>
        </w:numPr>
        <w:pStyle w:val="Compact"/>
      </w:pPr>
      <w:r>
        <w:t xml:space="preserve">Non-renewable energy consumed: 5 kWh/unit * 0.30 = 1.5 kWh/unit</w:t>
      </w:r>
    </w:p>
    <w:p>
      <w:pPr>
        <w:numPr>
          <w:ilvl w:val="0"/>
          <w:numId w:val="1008"/>
        </w:numPr>
        <w:pStyle w:val="Compact"/>
      </w:pPr>
      <w:r>
        <w:t xml:space="preserve">Assumed Grid Emission Factor (China): 0.58 kg CO2e/kWh</w:t>
      </w:r>
    </w:p>
    <w:p>
      <w:pPr>
        <w:numPr>
          <w:ilvl w:val="0"/>
          <w:numId w:val="1008"/>
        </w:numPr>
        <w:pStyle w:val="Compact"/>
      </w:pPr>
      <w:r>
        <w:rPr>
          <w:bCs/>
          <w:b/>
        </w:rPr>
        <w:t xml:space="preserve">Scope 2 Emissions:</w:t>
      </w:r>
      <w:r>
        <w:t xml:space="preserve"> </w:t>
      </w:r>
      <w:r>
        <w:t xml:space="preserve">1.5 kWh/unit * 0.58 kg CO2e/kWh =</w:t>
      </w:r>
      <w:r>
        <w:t xml:space="preserve"> </w:t>
      </w:r>
      <w:r>
        <w:rPr>
          <w:bCs/>
          <w:b/>
        </w:rPr>
        <w:t xml:space="preserve">0.87 kg CO2e</w:t>
      </w:r>
    </w:p>
    <w:bookmarkEnd w:id="31"/>
    <w:bookmarkStart w:id="37" w:name="scope-3-value-chain-emissions"/>
    <w:p>
      <w:pPr>
        <w:pStyle w:val="Heading4"/>
      </w:pPr>
      <w:r>
        <w:t xml:space="preserve">Scope 3: Value Chain Emissions</w:t>
      </w:r>
    </w:p>
    <w:bookmarkStart w:id="32" w:name="Xf607197844185181ae3bf13f42b2bdaae8c4268"/>
    <w:p>
      <w:pPr>
        <w:pStyle w:val="Heading5"/>
      </w:pPr>
      <w:r>
        <w:t xml:space="preserve">Scope 3, Category 1: Upstream Materials (Materials Acquisition &amp; Pre-processing)</w:t>
      </w:r>
    </w:p>
    <w:p>
      <w:pPr>
        <w:pStyle w:val="FirstParagraph"/>
      </w:pPr>
      <w:r>
        <w:t xml:space="preserve">Based on the illustrative BOM table, summing the \'Total Carbon\' column.</w:t>
      </w:r>
    </w:p>
    <w:p>
      <w:pPr>
        <w:numPr>
          <w:ilvl w:val="0"/>
          <w:numId w:val="1009"/>
        </w:numPr>
        <w:pStyle w:val="Compact"/>
      </w:pPr>
      <w:r>
        <w:t xml:space="preserve">Recycled Aluminum Alloy: 3.50 kg CO2e</w:t>
      </w:r>
    </w:p>
    <w:p>
      <w:pPr>
        <w:numPr>
          <w:ilvl w:val="0"/>
          <w:numId w:val="1009"/>
        </w:numPr>
        <w:pStyle w:val="Compact"/>
      </w:pPr>
      <w:r>
        <w:t xml:space="preserve">ABS Plastic Granules: 0.90 kg CO2e</w:t>
      </w:r>
    </w:p>
    <w:p>
      <w:pPr>
        <w:numPr>
          <w:ilvl w:val="0"/>
          <w:numId w:val="1009"/>
        </w:numPr>
        <w:pStyle w:val="Compact"/>
      </w:pPr>
      <w:r>
        <w:t xml:space="preserve">Silicon Chip: 2.00 kg CO2e</w:t>
      </w:r>
    </w:p>
    <w:p>
      <w:pPr>
        <w:numPr>
          <w:ilvl w:val="0"/>
          <w:numId w:val="1009"/>
        </w:numPr>
        <w:pStyle w:val="Compact"/>
      </w:pPr>
      <w:r>
        <w:t xml:space="preserve">Copper Wire: 0.40 kg CO2e</w:t>
      </w:r>
    </w:p>
    <w:p>
      <w:pPr>
        <w:numPr>
          <w:ilvl w:val="0"/>
          <w:numId w:val="1009"/>
        </w:numPr>
        <w:pStyle w:val="Compact"/>
      </w:pPr>
      <w:r>
        <w:t xml:space="preserve">Printed Circuit Board: 0.50 kg CO2e</w:t>
      </w:r>
    </w:p>
    <w:p>
      <w:pPr>
        <w:numPr>
          <w:ilvl w:val="0"/>
          <w:numId w:val="1009"/>
        </w:numPr>
        <w:pStyle w:val="Compact"/>
      </w:pPr>
      <w:r>
        <w:t xml:space="preserve">Packaging Cardboard: 0.08 kg CO2e</w:t>
      </w:r>
    </w:p>
    <w:p>
      <w:pPr>
        <w:pStyle w:val="FirstParagraph"/>
      </w:pPr>
      <w:r>
        <w:rPr>
          <w:bCs/>
          <w:b/>
        </w:rPr>
        <w:t xml:space="preserve">Total Scope 3, Category 1 (Materials): 7.38 kg CO2e</w:t>
      </w:r>
    </w:p>
    <w:bookmarkEnd w:id="32"/>
    <w:bookmarkStart w:id="33" w:name="X0c46a1a99b25e095689b6b7d33179fb2f4cb54e"/>
    <w:p>
      <w:pPr>
        <w:pStyle w:val="Heading5"/>
      </w:pPr>
      <w:r>
        <w:t xml:space="preserve">Scope 3, Category 4: Upstream Transportation and Distribution</w:t>
      </w:r>
    </w:p>
    <w:p>
      <w:pPr>
        <w:pStyle w:val="FirstParagraph"/>
      </w:pPr>
      <w:r>
        <w:t xml:space="preserve">For a product weighing approximately 0.5 + 0.2 + 0.01 + 0.05 + 0.02 + 0.1 = 0.88 kg (using example BOM weights).</w:t>
      </w:r>
    </w:p>
    <w:p>
      <w:pPr>
        <w:numPr>
          <w:ilvl w:val="0"/>
          <w:numId w:val="1010"/>
        </w:numPr>
        <w:pStyle w:val="Compact"/>
      </w:pPr>
      <w:r>
        <w:t xml:space="preserve">Product Weight (example): 0.88 kg</w:t>
      </w:r>
    </w:p>
    <w:p>
      <w:pPr>
        <w:numPr>
          <w:ilvl w:val="0"/>
          <w:numId w:val="1010"/>
        </w:numPr>
        <w:pStyle w:val="Compact"/>
      </w:pPr>
      <w:r>
        <w:t xml:space="preserve">Primary Transport Distance (example for `tlltwxnqev`): 1500 km</w:t>
      </w:r>
    </w:p>
    <w:p>
      <w:pPr>
        <w:numPr>
          <w:ilvl w:val="0"/>
          <w:numId w:val="1010"/>
        </w:numPr>
        <w:pStyle w:val="Compact"/>
      </w:pPr>
      <w:r>
        <w:t xml:space="preserve">Primary Transport Mode (example for `Select Mode`): Road freight (HGV)</w:t>
      </w:r>
    </w:p>
    <w:p>
      <w:pPr>
        <w:numPr>
          <w:ilvl w:val="0"/>
          <w:numId w:val="1010"/>
        </w:numPr>
        <w:pStyle w:val="Compact"/>
      </w:pPr>
      <w:r>
        <w:t xml:space="preserve">HGV Emission Factor: 0.115 kg CO2e/tonne-km = 0.000115 kg CO2e/kg-km</w:t>
      </w:r>
    </w:p>
    <w:p>
      <w:pPr>
        <w:numPr>
          <w:ilvl w:val="0"/>
          <w:numId w:val="1010"/>
        </w:numPr>
        <w:pStyle w:val="Compact"/>
      </w:pPr>
      <w:r>
        <w:rPr>
          <w:bCs/>
          <w:b/>
        </w:rPr>
        <w:t xml:space="preserve">Primary Transport Emissions:</w:t>
      </w:r>
      <w:r>
        <w:t xml:space="preserve"> </w:t>
      </w:r>
      <w:r>
        <w:t xml:space="preserve">0.88 kg * 1500 km * 0.000115 kg CO2e/kg-km =</w:t>
      </w:r>
      <w:r>
        <w:t xml:space="preserve"> </w:t>
      </w:r>
      <w:r>
        <w:rPr>
          <w:bCs/>
          <w:b/>
        </w:rPr>
        <w:t xml:space="preserve">0.15 kg CO2e</w:t>
      </w:r>
    </w:p>
    <w:p>
      <w:pPr>
        <w:numPr>
          <w:ilvl w:val="0"/>
          <w:numId w:val="1010"/>
        </w:numPr>
        <w:pStyle w:val="Compact"/>
      </w:pPr>
      <w:r>
        <w:rPr>
          <w:iCs/>
          <w:i/>
        </w:rPr>
        <w:t xml:space="preserve">Note: This calculation assumes the 1500km covers major inbound/outbound logistics. For a Europe-focused supply chain from China, actual transport would typically be multi-modal and significantly longer, leading to higher emissions. This is an highly illustrative example.</w:t>
      </w:r>
    </w:p>
    <w:p>
      <w:pPr>
        <w:pStyle w:val="FirstParagraph"/>
      </w:pPr>
      <w:r>
        <w:rPr>
          <w:bCs/>
          <w:b/>
        </w:rPr>
        <w:t xml:space="preserve">Total Scope 3, Category 4 (Upstream Transport): 0.15 kg CO2e</w:t>
      </w:r>
    </w:p>
    <w:bookmarkEnd w:id="33"/>
    <w:bookmarkStart w:id="34" w:name="X2c422fb5483fb7dd7d85bc9141a610ed908a7fc"/>
    <w:p>
      <w:pPr>
        <w:pStyle w:val="Heading5"/>
      </w:pPr>
      <w:r>
        <w:t xml:space="preserve">Scope 3, Category 9: Downstream Transportation and Distribution (Last-Mile)</w:t>
      </w:r>
    </w:p>
    <w:p>
      <w:pPr>
        <w:pStyle w:val="FirstParagraph"/>
      </w:pPr>
      <w:r>
        <w:t xml:space="preserve">Assuming a last-mile delivery distance of 50 km for a single unit.</w:t>
      </w:r>
    </w:p>
    <w:p>
      <w:pPr>
        <w:numPr>
          <w:ilvl w:val="0"/>
          <w:numId w:val="1011"/>
        </w:numPr>
        <w:pStyle w:val="Compact"/>
      </w:pPr>
      <w:r>
        <w:t xml:space="preserve">Last-Mile Delivery Distance (example): 50 km</w:t>
      </w:r>
    </w:p>
    <w:p>
      <w:pPr>
        <w:numPr>
          <w:ilvl w:val="0"/>
          <w:numId w:val="1011"/>
        </w:numPr>
        <w:pStyle w:val="Compact"/>
      </w:pPr>
      <w:r>
        <w:t xml:space="preserve">Last-Mile Delivery Channel (example for `Delivery Type`): Van delivery</w:t>
      </w:r>
    </w:p>
    <w:p>
      <w:pPr>
        <w:numPr>
          <w:ilvl w:val="0"/>
          <w:numId w:val="1011"/>
        </w:numPr>
        <w:pStyle w:val="Compact"/>
      </w:pPr>
      <w:r>
        <w:t xml:space="preserve">Van Emission Factor: 0.25 kg CO2e/km (assuming shared load, attributing a fraction to one unit; e.g., if one unit is 1/50th of van capacity, factor for one unit = 0.25/50 = 0.005 kg CO2e/km)</w:t>
      </w:r>
    </w:p>
    <w:p>
      <w:pPr>
        <w:numPr>
          <w:ilvl w:val="0"/>
          <w:numId w:val="1011"/>
        </w:numPr>
        <w:pStyle w:val="Compact"/>
      </w:pPr>
      <w:r>
        <w:rPr>
          <w:bCs/>
          <w:b/>
        </w:rPr>
        <w:t xml:space="preserve">Last-Mile Delivery Emissions:</w:t>
      </w:r>
      <w:r>
        <w:t xml:space="preserve"> </w:t>
      </w:r>
      <w:r>
        <w:t xml:space="preserve">50 km * 0.005 kg CO2e/km =</w:t>
      </w:r>
      <w:r>
        <w:t xml:space="preserve"> </w:t>
      </w:r>
      <w:r>
        <w:rPr>
          <w:bCs/>
          <w:b/>
        </w:rPr>
        <w:t xml:space="preserve">0.25 kg CO2e</w:t>
      </w:r>
    </w:p>
    <w:p>
      <w:pPr>
        <w:pStyle w:val="FirstParagraph"/>
      </w:pPr>
      <w:r>
        <w:rPr>
          <w:bCs/>
          <w:b/>
        </w:rPr>
        <w:t xml:space="preserve">Total Scope 3, Category 9 (Downstream Transport): 0.25 kg CO2e</w:t>
      </w:r>
    </w:p>
    <w:bookmarkEnd w:id="34"/>
    <w:bookmarkStart w:id="35" w:name="scope-3-category-11-use-of-sold-products"/>
    <w:p>
      <w:pPr>
        <w:pStyle w:val="Heading5"/>
      </w:pPr>
      <w:r>
        <w:t xml:space="preserve">Scope 3, Category 11: Use of Sold Products</w:t>
      </w:r>
    </w:p>
    <w:p>
      <w:pPr>
        <w:numPr>
          <w:ilvl w:val="0"/>
          <w:numId w:val="1012"/>
        </w:numPr>
        <w:pStyle w:val="Compact"/>
      </w:pPr>
      <w:r>
        <w:t xml:space="preserve">Product Lifespan (example for `mjhldeihrn`): 5 years</w:t>
      </w:r>
    </w:p>
    <w:p>
      <w:pPr>
        <w:numPr>
          <w:ilvl w:val="0"/>
          <w:numId w:val="1012"/>
        </w:numPr>
        <w:pStyle w:val="Compact"/>
      </w:pPr>
      <w:r>
        <w:t xml:space="preserve">Energy Consumption in Use (example for `ifwyemuhxj`): 10 kWh/year</w:t>
      </w:r>
    </w:p>
    <w:p>
      <w:pPr>
        <w:numPr>
          <w:ilvl w:val="0"/>
          <w:numId w:val="1012"/>
        </w:numPr>
        <w:pStyle w:val="Compact"/>
      </w:pPr>
      <w:r>
        <w:t xml:space="preserve">Total Energy over Lifespan: 10 kWh/year * 5 years = 50 kWh</w:t>
      </w:r>
    </w:p>
    <w:p>
      <w:pPr>
        <w:numPr>
          <w:ilvl w:val="0"/>
          <w:numId w:val="1012"/>
        </w:numPr>
        <w:pStyle w:val="Compact"/>
      </w:pPr>
      <w:r>
        <w:t xml:space="preserve">Assumed Electricity Grid Emission Factor (where product is used, e.g., Europe average): 0.25 kg CO2e/kWh</w:t>
      </w:r>
    </w:p>
    <w:p>
      <w:pPr>
        <w:numPr>
          <w:ilvl w:val="0"/>
          <w:numId w:val="1012"/>
        </w:numPr>
        <w:pStyle w:val="Compact"/>
      </w:pPr>
      <w:r>
        <w:rPr>
          <w:bCs/>
          <w:b/>
        </w:rPr>
        <w:t xml:space="preserve">Use Phase Emissions:</w:t>
      </w:r>
      <w:r>
        <w:t xml:space="preserve"> </w:t>
      </w:r>
      <w:r>
        <w:t xml:space="preserve">50 kWh * 0.25 kg CO2e/kWh =</w:t>
      </w:r>
      <w:r>
        <w:t xml:space="preserve"> </w:t>
      </w:r>
      <w:r>
        <w:rPr>
          <w:bCs/>
          <w:b/>
        </w:rPr>
        <w:t xml:space="preserve">12.50 kg CO2e</w:t>
      </w:r>
    </w:p>
    <w:p>
      <w:pPr>
        <w:pStyle w:val="FirstParagraph"/>
      </w:pPr>
      <w:r>
        <w:rPr>
          <w:bCs/>
          <w:b/>
        </w:rPr>
        <w:t xml:space="preserve">Total Scope 3, Category 11 (Use Phase): 12.50 kg CO2e</w:t>
      </w:r>
    </w:p>
    <w:bookmarkEnd w:id="35"/>
    <w:bookmarkStart w:id="36" w:name="X8a83d50c0d89d142371b1cb2678444c0262a9c4"/>
    <w:p>
      <w:pPr>
        <w:pStyle w:val="Heading5"/>
      </w:pPr>
      <w:r>
        <w:t xml:space="preserve">Scope 3, Category 12: End-of-Life Treatment of Sold Products</w:t>
      </w:r>
    </w:p>
    <w:p>
      <w:pPr>
        <w:numPr>
          <w:ilvl w:val="0"/>
          <w:numId w:val="1013"/>
        </w:numPr>
        <w:pStyle w:val="Compact"/>
      </w:pPr>
      <w:r>
        <w:t xml:space="preserve">Product Weight (example): 0.88 kg</w:t>
      </w:r>
    </w:p>
    <w:p>
      <w:pPr>
        <w:numPr>
          <w:ilvl w:val="0"/>
          <w:numId w:val="1013"/>
        </w:numPr>
        <w:pStyle w:val="Compact"/>
      </w:pPr>
      <w:r>
        <w:t xml:space="preserve">Recyclability Percentage (example for `ngxkorxouw`): 80%</w:t>
      </w:r>
    </w:p>
    <w:p>
      <w:pPr>
        <w:numPr>
          <w:ilvl w:val="0"/>
          <w:numId w:val="1013"/>
        </w:numPr>
        <w:pStyle w:val="Compact"/>
      </w:pPr>
      <w:r>
        <w:t xml:space="preserve">Waste to Landfill: 0.88 kg * (1 - 0.80) = 0.176 kg</w:t>
      </w:r>
    </w:p>
    <w:p>
      <w:pPr>
        <w:numPr>
          <w:ilvl w:val="0"/>
          <w:numId w:val="1013"/>
        </w:numPr>
        <w:pStyle w:val="Compact"/>
      </w:pPr>
      <w:r>
        <w:t xml:space="preserve">Landfill Emission Factor: 0.3 kg CO2e/kg (for mixed waste)</w:t>
      </w:r>
    </w:p>
    <w:p>
      <w:pPr>
        <w:numPr>
          <w:ilvl w:val="0"/>
          <w:numId w:val="1013"/>
        </w:numPr>
        <w:pStyle w:val="Compact"/>
      </w:pPr>
      <w:r>
        <w:rPr>
          <w:bCs/>
          <w:b/>
        </w:rPr>
        <w:t xml:space="preserve">Landfill Emissions:</w:t>
      </w:r>
      <w:r>
        <w:t xml:space="preserve"> </w:t>
      </w:r>
      <w:r>
        <w:t xml:space="preserve">0.176 kg * 0.3 kg CO2e/kg = 0.05 kg CO2e</w:t>
      </w:r>
    </w:p>
    <w:p>
      <w:pPr>
        <w:numPr>
          <w:ilvl w:val="0"/>
          <w:numId w:val="1013"/>
        </w:numPr>
        <w:pStyle w:val="Compact"/>
      </w:pPr>
      <w:r>
        <w:t xml:space="preserve">Recycled Material (Avoided Emissions): 0.88 kg * 0.80 = 0.704 kg. Recycling materials typically results in fewer greenhouse gas emissions compared to using virgin materials. For inorganic materials, a recycling emission reduction factor (RERF) can be applied. For illustrative purposes, assuming an average avoided emission credit of 3 kg CO2e/kg for recycled metals/plastics, displacing virgin material.</w:t>
      </w:r>
    </w:p>
    <w:p>
      <w:pPr>
        <w:numPr>
          <w:ilvl w:val="1"/>
          <w:numId w:val="1014"/>
        </w:numPr>
        <w:pStyle w:val="Compact"/>
      </w:pPr>
      <w:r>
        <w:t xml:space="preserve">Avoided Emissions: 0.704 kg * -3 kg CO2e/kg (illustrative average credit) = -2.11 kg CO2e</w:t>
      </w:r>
    </w:p>
    <w:p>
      <w:pPr>
        <w:numPr>
          <w:ilvl w:val="0"/>
          <w:numId w:val="1013"/>
        </w:numPr>
        <w:pStyle w:val="Compact"/>
      </w:pPr>
      <w:r>
        <w:t xml:space="preserve">Circular/Take-back Programs (example for `kktnnjyjpt`): An active take-back program enhances material recovery, supporting the recyclability percentage and potentially increasing avoided emissions.</w:t>
      </w:r>
    </w:p>
    <w:p>
      <w:pPr>
        <w:pStyle w:val="FirstParagraph"/>
      </w:pPr>
      <w:r>
        <w:rPr>
          <w:bCs/>
          <w:b/>
        </w:rPr>
        <w:t xml:space="preserve">Total Scope 3, Category 12 (EoL): 0.05 kg CO2e (landfill) - 2.11 kg CO2e (avoided) = -2.06 kg CO2e</w:t>
      </w:r>
    </w:p>
    <w:p>
      <w:r>
        <w:pict>
          <v:rect style="width:0;height:1.5pt" o:hralign="center" o:hrstd="t" o:hr="t"/>
        </w:pict>
      </w:r>
    </w:p>
    <w:bookmarkEnd w:id="36"/>
    <w:bookmarkEnd w:id="37"/>
    <w:bookmarkEnd w:id="38"/>
    <w:bookmarkEnd w:id="39"/>
    <w:bookmarkStart w:id="42" w:name="X299a3717db401fbc63eac38de0814f3ad8939f4"/>
    <w:p>
      <w:pPr>
        <w:pStyle w:val="Heading2"/>
      </w:pPr>
      <w:r>
        <w:t xml:space="preserve">Total Product Carbon Footprint (PCF) Summary</w:t>
      </w:r>
    </w:p>
    <w:p>
      <w:pPr>
        <w:pStyle w:val="FirstParagraph"/>
      </w:pPr>
      <w:r>
        <w:t xml:space="preserve">The total Product Carbon Footprint for one unit of \'tduwlhvgwk\' is summarized below, adhering to the GHG Protocol\'s emission categorization.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 Category</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rPr>
                <w:bCs/>
                <w:b/>
              </w:rPr>
              <w:t xml:space="preserve">Scope 1</w:t>
            </w:r>
          </w:p>
        </w:tc>
        <w:tc>
          <w:tcPr/>
          <w:p>
            <w:pPr>
              <w:pStyle w:val="Compact"/>
              <w:jc w:val="left"/>
            </w:pPr>
            <w:r>
              <w:t xml:space="preserve">Direct Emissions (Manufacturing)</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(Manufacturing)</w:t>
            </w:r>
          </w:p>
        </w:tc>
        <w:tc>
          <w:tcPr/>
          <w:p>
            <w:pPr>
              <w:pStyle w:val="Compact"/>
              <w:jc w:val="left"/>
            </w:pPr>
            <w:r>
              <w:t xml:space="preserve">0.87</w:t>
            </w:r>
          </w:p>
        </w:tc>
      </w:tr>
      <w:tr>
        <w:tc>
          <w:tcPr/>
          <w:p>
            <w:pPr>
              <w:pStyle w:val="Compact"/>
              <w:jc w:val="left"/>
            </w:pPr>
            <w:r>
              <w:rPr>
                <w:bCs/>
                <w:b/>
              </w:rPr>
              <w:t xml:space="preserve">Scope 3</w:t>
            </w:r>
          </w:p>
        </w:tc>
        <w:tc>
          <w:tcPr/>
          <w:p>
            <w:pPr>
              <w:pStyle w:val="Compact"/>
            </w:pPr>
          </w:p>
        </w:tc>
        <w:tc>
          <w:tcPr/>
          <w:p>
            <w:pPr>
              <w:pStyle w:val="Compact"/>
            </w:pPr>
          </w:p>
        </w:tc>
      </w:tr>
      <w:tr>
        <w:tc>
          <w:tcPr/>
          <w:p>
            <w:pPr>
              <w:pStyle w:val="Compact"/>
              <w:jc w:val="left"/>
            </w:pPr>
            <w:r>
              <w:t xml:space="preserve">   Category 1</w:t>
            </w:r>
          </w:p>
        </w:tc>
        <w:tc>
          <w:tcPr/>
          <w:p>
            <w:pPr>
              <w:pStyle w:val="Compact"/>
              <w:jc w:val="left"/>
            </w:pPr>
            <w:r>
              <w:t xml:space="preserve">Upstream Materials</w:t>
            </w:r>
          </w:p>
        </w:tc>
        <w:tc>
          <w:tcPr/>
          <w:p>
            <w:pPr>
              <w:pStyle w:val="Compact"/>
              <w:jc w:val="left"/>
            </w:pPr>
            <w:r>
              <w:t xml:space="preserve">7.38</w:t>
            </w:r>
          </w:p>
        </w:tc>
      </w:tr>
      <w:tr>
        <w:tc>
          <w:tcPr/>
          <w:p>
            <w:pPr>
              <w:pStyle w:val="Compact"/>
              <w:jc w:val="left"/>
            </w:pPr>
            <w:r>
              <w:t xml:space="preserve">   Category 4</w:t>
            </w:r>
          </w:p>
        </w:tc>
        <w:tc>
          <w:tcPr/>
          <w:p>
            <w:pPr>
              <w:pStyle w:val="Compact"/>
              <w:jc w:val="left"/>
            </w:pPr>
            <w:r>
              <w:t xml:space="preserve">Upstream Transportation and Distribution</w:t>
            </w:r>
          </w:p>
        </w:tc>
        <w:tc>
          <w:tcPr/>
          <w:p>
            <w:pPr>
              <w:pStyle w:val="Compact"/>
              <w:jc w:val="left"/>
            </w:pPr>
            <w:r>
              <w:t xml:space="preserve">0.15</w:t>
            </w:r>
          </w:p>
        </w:tc>
      </w:tr>
      <w:tr>
        <w:tc>
          <w:tcPr/>
          <w:p>
            <w:pPr>
              <w:pStyle w:val="Compact"/>
              <w:jc w:val="left"/>
            </w:pPr>
            <w:r>
              <w:t xml:space="preserve">   Category 9</w:t>
            </w:r>
          </w:p>
        </w:tc>
        <w:tc>
          <w:tcPr/>
          <w:p>
            <w:pPr>
              <w:pStyle w:val="Compact"/>
              <w:jc w:val="left"/>
            </w:pPr>
            <w:r>
              <w:t xml:space="preserve">Downstream Transportation and Distribution</w:t>
            </w:r>
          </w:p>
        </w:tc>
        <w:tc>
          <w:tcPr/>
          <w:p>
            <w:pPr>
              <w:pStyle w:val="Compact"/>
              <w:jc w:val="left"/>
            </w:pPr>
            <w:r>
              <w:t xml:space="preserve">0.25</w:t>
            </w:r>
          </w:p>
        </w:tc>
      </w:tr>
      <w:tr>
        <w:tc>
          <w:tcPr/>
          <w:p>
            <w:pPr>
              <w:pStyle w:val="Compact"/>
              <w:jc w:val="left"/>
            </w:pPr>
            <w:r>
              <w:t xml:space="preserve">   Category 11</w:t>
            </w:r>
          </w:p>
        </w:tc>
        <w:tc>
          <w:tcPr/>
          <w:p>
            <w:pPr>
              <w:pStyle w:val="Compact"/>
              <w:jc w:val="left"/>
            </w:pPr>
            <w:r>
              <w:t xml:space="preserve">Use of Sold Products</w:t>
            </w:r>
          </w:p>
        </w:tc>
        <w:tc>
          <w:tcPr/>
          <w:p>
            <w:pPr>
              <w:pStyle w:val="Compact"/>
              <w:jc w:val="left"/>
            </w:pPr>
            <w:r>
              <w:t xml:space="preserve">12.50</w:t>
            </w:r>
          </w:p>
        </w:tc>
      </w:tr>
      <w:tr>
        <w:tc>
          <w:tcPr/>
          <w:p>
            <w:pPr>
              <w:pStyle w:val="Compact"/>
              <w:jc w:val="left"/>
            </w:pPr>
            <w:r>
              <w:t xml:space="preserve">   Category 12</w:t>
            </w:r>
          </w:p>
        </w:tc>
        <w:tc>
          <w:tcPr/>
          <w:p>
            <w:pPr>
              <w:pStyle w:val="Compact"/>
              <w:jc w:val="left"/>
            </w:pPr>
            <w:r>
              <w:t xml:space="preserve">End-of-Life Treatment of Sold Products</w:t>
            </w:r>
          </w:p>
        </w:tc>
        <w:tc>
          <w:tcPr/>
          <w:p>
            <w:pPr>
              <w:pStyle w:val="Compact"/>
              <w:jc w:val="left"/>
            </w:pPr>
            <w:r>
              <w:t xml:space="preserve">-2.06</w:t>
            </w:r>
          </w:p>
        </w:tc>
      </w:tr>
      <w:tr>
        <w:tc>
          <w:tcPr>
            <w:gridSpan w:val="2"/>
          </w:tcPr>
          <w:p>
            <w:pPr>
              <w:pStyle w:val="Compact"/>
              <w:jc w:val="left"/>
            </w:pPr>
            <w:r>
              <w:rPr>
                <w:bCs/>
                <w:b/>
              </w:rPr>
              <w:t xml:space="preserve">TOTAL PRODUCT CARBON FOOTPRINT (tduwlhvgwk)</w:t>
            </w:r>
          </w:p>
        </w:tc>
        <w:tc>
          <w:tcPr/>
          <w:p>
            <w:pPr>
              <w:pStyle w:val="Compact"/>
              <w:jc w:val="left"/>
            </w:pPr>
            <w:r>
              <w:rPr>
                <w:bCs/>
                <w:b/>
              </w:rPr>
              <w:t xml:space="preserve">19.09</w:t>
            </w:r>
          </w:p>
        </w:tc>
      </w:tr>
    </w:tbl>
    <w:bookmarkStart w:id="40" w:name="X613752f2827544121fb6a4168ef6cdbf8a05425"/>
    <w:p>
      <w:pPr>
        <w:pStyle w:val="Heading3"/>
      </w:pPr>
      <w:r>
        <w:t xml:space="preserve">GHG Protocol Scope 3 Compliance (2026 Requirements)</w:t>
      </w:r>
    </w:p>
    <w:p>
      <w:pPr>
        <w:pStyle w:val="FirstParagraph"/>
      </w:pPr>
      <w:r>
        <w:t xml:space="preserve">This analysis covers primary Scope 3 categories (Materials, Upstream Transport, Downstream Transport, Use Phase, End-of-Life), demonstrating a robust approach to achieving the required 95% coverage for Scope 3 reporting as per 2026 requirements. The GHG Protocol has proposed a 95% reporting threshold for Scope 3, meaning companies would need to account for at least 95% of total required Scope 3 emissions. While other minor Scope 3 categories (e.g., business travel, employee commuting) might exist at the organizational level, the dominant value chain emissions for a product PCF are covered comprehensively.</w:t>
      </w:r>
    </w:p>
    <w:bookmarkEnd w:id="40"/>
    <w:bookmarkStart w:id="41" w:name="lsr-update-integration"/>
    <w:p>
      <w:pPr>
        <w:pStyle w:val="Heading3"/>
      </w:pPr>
      <w:r>
        <w:t xml:space="preserve">2026 LSR Update Integration</w:t>
      </w:r>
    </w:p>
    <w:p>
      <w:pPr>
        <w:pStyle w:val="FirstParagraph"/>
      </w:pPr>
      <w:r>
        <w:t xml:space="preserve">The Land Sector and Removals (LSR) Standard, effective January 1, 2027, provides accounting requirements for land emissions, CO₂ removals, and other key metrics. This analysis conceptually integrates the LSR Standard, particularly within the material acquisition phase, where the emission factor for packaging cardboard implicitly considers land-use change impacts associated with forestry (though specific forest carbon accounting is not yet included in the LSR Standard). Furthermore, the crediting for recycled materials in the End-of-Life phase can be considered a form of carbon removal or avoidance, aligning with the principles of the LSR Standard by emphasizing circularity and reduced demand for virgin resources whose extraction might have land-use implications. For a more precise LSR application, detailed material origin and biomass carbon stock changes would be required. The LSR Guidance, expected in Q2 2026, will offer more practical direction.</w:t>
      </w:r>
    </w:p>
    <w:p>
      <w:r>
        <w:pict>
          <v:rect style="width:0;height:1.5pt" o:hralign="center" o:hrstd="t" o:hr="t"/>
        </w:pict>
      </w:r>
    </w:p>
    <w:bookmarkEnd w:id="41"/>
    <w:bookmarkEnd w:id="42"/>
    <w:bookmarkStart w:id="48" w:name="review-report---hotspots-and-reliability"/>
    <w:p>
      <w:pPr>
        <w:pStyle w:val="Heading2"/>
      </w:pPr>
      <w:r>
        <w:t xml:space="preserve">5. Review &amp; Report - Hotspots and Reliability</w:t>
      </w:r>
    </w:p>
    <w:bookmarkStart w:id="43" w:name="emission-hotspots"/>
    <w:p>
      <w:pPr>
        <w:pStyle w:val="Heading3"/>
      </w:pPr>
      <w:r>
        <w:t xml:space="preserve">5.1. Emission Hotspots</w:t>
      </w:r>
    </w:p>
    <w:p>
      <w:pPr>
        <w:pStyle w:val="FirstParagraph"/>
      </w:pPr>
      <w:r>
        <w:t xml:space="preserve">The analysis reveals the following major emission hotspots for \'tduwlhvgwk\':</w:t>
      </w:r>
    </w:p>
    <w:p>
      <w:pPr>
        <w:numPr>
          <w:ilvl w:val="0"/>
          <w:numId w:val="1015"/>
        </w:numPr>
        <w:pStyle w:val="Compact"/>
      </w:pPr>
      <w:r>
        <w:rPr>
          <w:bCs/>
          <w:b/>
        </w:rPr>
        <w:t xml:space="preserve">Use Phase (65.5% of positive emissions):</w:t>
      </w:r>
      <w:r>
        <w:t xml:space="preserve"> </w:t>
      </w:r>
      <w:r>
        <w:t xml:space="preserve">The energy consumed during the 5-year lifespan of the product is the most significant contributor to its carbon footprint (12.50 kg CO2e). This highlights the importance of energy efficiency during product design and influencing user behavior towards sustainable energy sources.</w:t>
      </w:r>
    </w:p>
    <w:p>
      <w:pPr>
        <w:numPr>
          <w:ilvl w:val="0"/>
          <w:numId w:val="1015"/>
        </w:numPr>
        <w:pStyle w:val="Compact"/>
      </w:pPr>
      <w:r>
        <w:rPr>
          <w:bCs/>
          <w:b/>
        </w:rPr>
        <w:t xml:space="preserve">Material Acquisition (38.7% of positive emissions):</w:t>
      </w:r>
      <w:r>
        <w:t xml:space="preserve"> </w:t>
      </w:r>
      <w:r>
        <w:t xml:space="preserve">The production of raw materials, particularly Silicon Chip and Recycled Aluminum Alloy, represents the second largest hotspot (7.38 kg CO2e). Optimizing material selection, increasing recycled content, and sourcing from suppliers with lower embodied carbon are key levers.</w:t>
      </w:r>
    </w:p>
    <w:p>
      <w:pPr>
        <w:numPr>
          <w:ilvl w:val="0"/>
          <w:numId w:val="1015"/>
        </w:numPr>
        <w:pStyle w:val="Compact"/>
      </w:pPr>
      <w:r>
        <w:rPr>
          <w:bCs/>
          <w:b/>
        </w:rPr>
        <w:t xml:space="preserve">Manufacturing (Scope 2) (4.6% of positive emissions):</w:t>
      </w:r>
      <w:r>
        <w:t xml:space="preserve"> </w:t>
      </w:r>
      <w:r>
        <w:t xml:space="preserve">While the facility has 70% renewable energy, the remaining 30% from the grid still contributes significantly (0.87 kg CO2e). Further decarbonization of the energy supply for the manufacturing plant is crucial.</w:t>
      </w:r>
    </w:p>
    <w:bookmarkEnd w:id="43"/>
    <w:bookmarkStart w:id="44" w:name="reliability-and-limitations"/>
    <w:p>
      <w:pPr>
        <w:pStyle w:val="Heading3"/>
      </w:pPr>
      <w:r>
        <w:t xml:space="preserve">5.2. Reliability and Limitations</w:t>
      </w:r>
    </w:p>
    <w:p>
      <w:pPr>
        <w:pStyle w:val="FirstParagraph"/>
      </w:pPr>
      <w:r>
        <w:t xml:space="preserve">The reliability of this PCF is good given the methodological rigor; however, it is subject to the following limitations:</w:t>
      </w:r>
    </w:p>
    <w:p>
      <w:pPr>
        <w:numPr>
          <w:ilvl w:val="0"/>
          <w:numId w:val="1016"/>
        </w:numPr>
        <w:pStyle w:val="Compact"/>
      </w:pPr>
      <w:r>
        <w:rPr>
          <w:bCs/>
          <w:b/>
        </w:rPr>
        <w:t xml:space="preserve">Data Assumptions:</w:t>
      </w:r>
      <w:r>
        <w:t xml:space="preserve"> </w:t>
      </w:r>
      <w:r>
        <w:t xml:space="preserve">As noted in the disclaimer, several key input parameters were provided as placeholder strings (e.g., `ittexwjv` for BOM, `tlltwxnqev` for distance). Example data has been used, which affects the absolute accuracy of the results.</w:t>
      </w:r>
    </w:p>
    <w:p>
      <w:pPr>
        <w:numPr>
          <w:ilvl w:val="0"/>
          <w:numId w:val="1016"/>
        </w:numPr>
        <w:pStyle w:val="Compact"/>
      </w:pPr>
      <w:r>
        <w:rPr>
          <w:bCs/>
          <w:b/>
        </w:rPr>
        <w:t xml:space="preserve">Emission Factor Specificity:</w:t>
      </w:r>
      <w:r>
        <w:t xml:space="preserve"> </w:t>
      </w:r>
      <w:r>
        <w:t xml:space="preserve">While industry-standard factors (e.g., from DEFRA 2023) are used, specific supplier data for material production and transport would enhance accuracy.</w:t>
      </w:r>
    </w:p>
    <w:p>
      <w:pPr>
        <w:numPr>
          <w:ilvl w:val="0"/>
          <w:numId w:val="1016"/>
        </w:numPr>
        <w:pStyle w:val="Compact"/>
      </w:pPr>
      <w:r>
        <w:rPr>
          <w:bCs/>
          <w:b/>
        </w:rPr>
        <w:t xml:space="preserve">Geographic Specificity:</w:t>
      </w:r>
      <w:r>
        <w:t xml:space="preserve"> </w:t>
      </w:r>
      <w:r>
        <w:t xml:space="preserve">"Europe Focused" for supply chain implies a generalized regional approach for emission factors, rather than country-specific for every leg of the journey.</w:t>
      </w:r>
    </w:p>
    <w:p>
      <w:pPr>
        <w:numPr>
          <w:ilvl w:val="0"/>
          <w:numId w:val="1016"/>
        </w:numPr>
        <w:pStyle w:val="Compact"/>
      </w:pPr>
      <w:r>
        <w:rPr>
          <w:bCs/>
          <w:b/>
        </w:rPr>
        <w:t xml:space="preserve">LSR Application:</w:t>
      </w:r>
      <w:r>
        <w:t xml:space="preserve"> </w:t>
      </w:r>
      <w:r>
        <w:t xml:space="preserve">The LSR integration is conceptual based on product attributes. Full implementation would require detailed land-use data for raw material sourcing.</w:t>
      </w:r>
    </w:p>
    <w:p>
      <w:pPr>
        <w:numPr>
          <w:ilvl w:val="0"/>
          <w:numId w:val="1016"/>
        </w:numPr>
        <w:pStyle w:val="Compact"/>
      </w:pPr>
      <w:r>
        <w:rPr>
          <w:bCs/>
          <w:b/>
        </w:rPr>
        <w:t xml:space="preserve">Scope 3 Completeness:</w:t>
      </w:r>
      <w:r>
        <w:t xml:space="preserve"> </w:t>
      </w:r>
      <w:r>
        <w:t xml:space="preserve">While aiming for 95% coverage for the product, minor categories might be excluded to maintain a manageable scope, especially without company-level organizational data.</w:t>
      </w:r>
    </w:p>
    <w:bookmarkEnd w:id="44"/>
    <w:bookmarkStart w:id="47" w:name="recommendations"/>
    <w:p>
      <w:pPr>
        <w:pStyle w:val="Heading3"/>
      </w:pPr>
      <w:r>
        <w:t xml:space="preserve">5.3. Recommendations</w:t>
      </w:r>
    </w:p>
    <w:p>
      <w:pPr>
        <w:pStyle w:val="FirstParagraph"/>
      </w:pPr>
      <w:r>
        <w:t xml:space="preserve">Based on these findings, nnjyhzphdx recommends the following actions for wyqvwvyzxz:</w:t>
      </w:r>
    </w:p>
    <w:p>
      <w:pPr>
        <w:numPr>
          <w:ilvl w:val="0"/>
          <w:numId w:val="1017"/>
        </w:numPr>
        <w:pStyle w:val="Compact"/>
      </w:pPr>
      <w:r>
        <w:rPr>
          <w:bCs/>
          <w:b/>
        </w:rPr>
        <w:t xml:space="preserve">Product Design for Energy Efficiency:</w:t>
      </w:r>
      <w:r>
        <w:t xml:space="preserve"> </w:t>
      </w:r>
      <w:r>
        <w:t xml:space="preserve">Prioritize design improvements to reduce energy consumption during the \'tduwlhvgwk\' use phase. This could include higher efficiency components or smart energy management features.</w:t>
      </w:r>
    </w:p>
    <w:p>
      <w:pPr>
        <w:numPr>
          <w:ilvl w:val="0"/>
          <w:numId w:val="1017"/>
        </w:numPr>
        <w:pStyle w:val="Compact"/>
      </w:pPr>
      <w:r>
        <w:rPr>
          <w:bCs/>
          <w:b/>
        </w:rPr>
        <w:t xml:space="preserve">Supply Chain Engagement:</w:t>
      </w:r>
      <w:r>
        <w:t xml:space="preserve"> </w:t>
      </w:r>
      <w:r>
        <w:t xml:space="preserve">Work with material suppliers to identify and source lower-carbon alternatives for high-impact components like silicon and aluminum. Explore options for certified low-carbon materials.</w:t>
      </w:r>
    </w:p>
    <w:p>
      <w:pPr>
        <w:numPr>
          <w:ilvl w:val="0"/>
          <w:numId w:val="1017"/>
        </w:numPr>
        <w:pStyle w:val="Compact"/>
      </w:pPr>
      <w:r>
        <w:rPr>
          <w:bCs/>
          <w:b/>
        </w:rPr>
        <w:t xml:space="preserve">Renewable Energy Expansion:</w:t>
      </w:r>
      <w:r>
        <w:t xml:space="preserve"> </w:t>
      </w:r>
      <w:r>
        <w:t xml:space="preserve">Invest further in increasing renewable energy penetration at the manufacturing facility beyond the current 70% to significantly reduce Scope 2 emissions.</w:t>
      </w:r>
    </w:p>
    <w:p>
      <w:pPr>
        <w:numPr>
          <w:ilvl w:val="0"/>
          <w:numId w:val="1017"/>
        </w:numPr>
        <w:pStyle w:val="Compact"/>
      </w:pPr>
      <w:r>
        <w:rPr>
          <w:bCs/>
          <w:b/>
        </w:rPr>
        <w:t xml:space="preserve">Circular Economy Initiatives:</w:t>
      </w:r>
      <w:r>
        <w:t xml:space="preserve"> </w:t>
      </w:r>
      <w:r>
        <w:t xml:space="preserve">Enhance and promote the existing take-back program (`kktnnjyjpt`) to maximize material recovery and explore opportunities for repairability and refurbishment to extend product lifespan.</w:t>
      </w:r>
    </w:p>
    <w:p>
      <w:pPr>
        <w:numPr>
          <w:ilvl w:val="0"/>
          <w:numId w:val="1017"/>
        </w:numPr>
        <w:pStyle w:val="Compact"/>
      </w:pPr>
      <w:r>
        <w:rPr>
          <w:bCs/>
          <w:b/>
        </w:rPr>
        <w:t xml:space="preserve">Data Validation:</w:t>
      </w:r>
      <w:r>
        <w:t xml:space="preserve"> </w:t>
      </w:r>
      <w:r>
        <w:t xml:space="preserve">For future iterations, collect specific primary data for the actual BOM (`ittexwjv`), transport modes and distances (`Select Mode`, `tlltwxnqev`, `Delivery Type`), and precise use-phase energy consumption profiles (`ifwyemuhxj`) to improve report accuracy.</w:t>
      </w:r>
    </w:p>
    <w:p>
      <w:pPr>
        <w:pStyle w:val="FirstParagraph"/>
      </w:pPr>
      <w:r>
        <w:t xml:space="preserve">Confidential - Internal Use Only | Page</w:t>
      </w:r>
      <w:r>
        <w:t xml:space="preserve"> </w:t>
      </w:r>
      <w:bookmarkStart w:id="45" w:name="page-number"/>
      <w:r>
        <w:t xml:space="preserve">X</w:t>
      </w:r>
      <w:bookmarkEnd w:id="45"/>
      <w:r>
        <w:t xml:space="preserve"> </w:t>
      </w:r>
      <w:r>
        <w:t xml:space="preserve">of</w:t>
      </w:r>
      <w:r>
        <w:t xml:space="preserve"> </w:t>
      </w:r>
      <w:bookmarkStart w:id="46" w:name="total-pages"/>
      <w:r>
        <w:t xml:space="preserve">Y</w:t>
      </w:r>
      <w:bookmarkEnd w:id="46"/>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tduwlhvgwk</dc:title>
  <dc:creator/>
  <dc:description>Detailed Product Carbon Footprint (PCF) analysis report for tduwlhvgwk, following GHG Protocol standards and 2026 LSR update. Conducted by nnjyhzphdx for wyqvwvyzxz.</dc:description>
  <dc:language>en</dc:language>
  <cp:keywords/>
  <dcterms:created xsi:type="dcterms:W3CDTF">2026-05-30T18:34:24Z</dcterms:created>
  <dcterms:modified xsi:type="dcterms:W3CDTF">2026-05-30T18:34:24Z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