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tdsvygvlet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tdsvygvlet</w:t>
      </w:r>
    </w:p>
    <w:p>
      <w:pPr>
        <w:pStyle w:val="BodyText"/>
      </w:pPr>
      <w:r>
        <w:rPr>
          <w:bCs/>
          <w:b/>
        </w:rPr>
        <w:t xml:space="preserve">Company Name:</w:t>
      </w:r>
      <w:r>
        <w:t xml:space="preserve"> </w:t>
      </w:r>
      <w:r>
        <w:t xml:space="preserve">intpjdwhyj</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t xml:space="preserve">westffxmko</w:t>
      </w:r>
    </w:p>
    <w:p>
      <w:pPr>
        <w:pStyle w:val="BodyText"/>
      </w:pPr>
      <w:r>
        <w:t xml:space="preserve">Senior Sustainability Consultant</w:t>
      </w:r>
    </w:p>
    <w:p>
      <w:pPr>
        <w:pStyle w:val="BodyText"/>
      </w:pPr>
      <w:r>
        <w:t xml:space="preserve">Disclaimer: This report is generated based on available data and industry standards.</w:t>
      </w:r>
      <w:r>
        <w:t xml:space="preserve"> </w:t>
      </w:r>
      <w:r>
        <w:t xml:space="preserve">While every effort has been made to ensure accuracy, the actual environmental impact</w:t>
      </w:r>
      <w:r>
        <w:t xml:space="preserve"> </w:t>
      </w:r>
      <w:r>
        <w:t xml:space="preserve">may vary due to real-world complexities and data limitations.</w:t>
      </w:r>
    </w:p>
    <w:bookmarkEnd w:id="20"/>
    <w:bookmarkStart w:id="21" w:name="Xfe39831bca66b87fdb8e9e22513a51fe716ce23"/>
    <w:p>
      <w:pPr>
        <w:pStyle w:val="Heading1"/>
      </w:pPr>
      <w:r>
        <w:t xml:space="preserve">Product Carbon Footprint Analysis for tdsvygvlet</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"tdsvygvlet," manufactured by "intpjdwhyj". The analysis was conducted by Senior Sustainability Consultant "westffxmko," adhering strictly to the Greenhouse Gas (GHG) Protocol. The objective is to quantify the greenhouse gas emissions associated with the product\'s lifecycle from cradle-to-gate, including significant downstream elements, to identify carbon hotspots and inform strategic decarbonization efforts. This assessment incorporates the upcoming 2026 Land Sector and Removals (LSR) Standard and ensures at least 95% coverage for Scope 3 emissions reporting.</w:t>
      </w:r>
    </w:p>
    <w:p>
      <w:pPr>
        <w:pStyle w:val="BodyText"/>
      </w:pPr>
      <w:r>
        <w:t xml:space="preserve">The total Product Carbon Footprint for one functional unit of \'tdsvygvlet\' is estimated to be approximately **[Calculated Total PCF] kg CO2e**. The primary drivers of emissions are identified across raw material acquisition, manufacturing, and the use phase. Detailed breakdowns and recommendations are provided in the subsequent sections.</w:t>
      </w:r>
    </w:p>
    <w:bookmarkEnd w:id="22"/>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This Product Carbon Footprint (PCF) analysis follows the "GHG Protocol Product Life Cycle Accounting and Reporting Standard" and the "Corporate Value Chain (Scope 3) Accounting and Reporting Standard". The methodology involves five key steps: Defining Scope, Mapping Lifecycle, Collecting Data, Calculating Emissions, and Review &amp; Reporting.</w:t>
      </w:r>
    </w:p>
    <w:bookmarkStart w:id="23" w:name="functional-unit"/>
    <w:p>
      <w:pPr>
        <w:pStyle w:val="Heading3"/>
      </w:pPr>
      <w:r>
        <w:t xml:space="preserve">1.1. Functional Unit</w:t>
      </w:r>
    </w:p>
    <w:p>
      <w:pPr>
        <w:pStyle w:val="FirstParagraph"/>
      </w:pPr>
      <w:r>
        <w:t xml:space="preserve">The functional unit for this PCF analysis is defined as **1.0 unit** of "tdsvygvlet."</w:t>
      </w:r>
    </w:p>
    <w:bookmarkEnd w:id="23"/>
    <w:bookmarkStart w:id="24" w:name="system-boundary"/>
    <w:p>
      <w:pPr>
        <w:pStyle w:val="Heading3"/>
      </w:pPr>
      <w:r>
        <w:t xml:space="preserve">1.2. System Boundary</w:t>
      </w:r>
    </w:p>
    <w:p>
      <w:pPr>
        <w:pStyle w:val="FirstParagraph"/>
      </w:pPr>
      <w:r>
        <w:t xml:space="preserve">The system boundary for this analysis is **"factory_gate"**, meaning emissions are accounted for up to the point the product leaves the manufacturing facility. However, crucial downstream impacts such as transportation to the customer, product use, and end-of-life treatment are also explicitly included to provide a comprehensive "cradle-to-grave" understanding for strategic purposes.</w:t>
      </w:r>
    </w:p>
    <w:p>
      <w:pPr>
        <w:pStyle w:val="BodyText"/>
      </w:pPr>
      <w:r>
        <w:t xml:space="preserve">Emissions are categorized into three scopes as per the GHG Protocol:</w:t>
      </w:r>
    </w:p>
    <w:p>
      <w:pPr>
        <w:numPr>
          <w:ilvl w:val="0"/>
          <w:numId w:val="1001"/>
        </w:numPr>
        <w:pStyle w:val="Compact"/>
      </w:pPr>
      <w:r>
        <w:rPr>
          <w:bCs/>
          <w:b/>
        </w:rPr>
        <w:t xml:space="preserve">Scope 1:</w:t>
      </w:r>
      <w:r>
        <w:t xml:space="preserve"> </w:t>
      </w:r>
      <w:r>
        <w:t xml:space="preserve">Direct GHG emissions from sources owned or controlled by intpjdwhyj (e.g., on-site manufacturing processes, company vehicles).</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intpjdwhyj.</w:t>
      </w:r>
    </w:p>
    <w:p>
      <w:pPr>
        <w:numPr>
          <w:ilvl w:val="0"/>
          <w:numId w:val="1001"/>
        </w:numPr>
        <w:pStyle w:val="Compact"/>
      </w:pPr>
      <w:r>
        <w:rPr>
          <w:bCs/>
          <w:b/>
        </w:rPr>
        <w:t xml:space="preserve">Scope 3:</w:t>
      </w:r>
      <w:r>
        <w:t xml:space="preserve"> </w:t>
      </w:r>
      <w:r>
        <w:t xml:space="preserve">All other indirect emissions that occur in the value chain, both upstream and downstream, not included in Scope 2. This includes emissions from purchased goods and services (raw materials), upstream and downstream transportation and distribution, use of sold products, and end-of-life treatment of sold products.</w:t>
      </w:r>
    </w:p>
    <w:bookmarkEnd w:id="24"/>
    <w:bookmarkStart w:id="25" w:name="geographic-scope"/>
    <w:p>
      <w:pPr>
        <w:pStyle w:val="Heading3"/>
      </w:pPr>
      <w:r>
        <w:t xml:space="preserve">1.3. Geographic Scope</w:t>
      </w:r>
    </w:p>
    <w:p>
      <w:pPr>
        <w:pStyle w:val="FirstParagraph"/>
      </w:pPr>
      <w:r>
        <w:t xml:space="preserve">The final production country for "tdsvygvlet" is **China**. The supply chain focus is **Europe Focused**, implying primary and secondary data collection and emission factors, where available, will reflect these regions.</w:t>
      </w:r>
    </w:p>
    <w:bookmarkEnd w:id="25"/>
    <w:bookmarkStart w:id="26" w:name="allocation"/>
    <w:p>
      <w:pPr>
        <w:pStyle w:val="Heading3"/>
      </w:pPr>
      <w:r>
        <w:t xml:space="preserve">1.4. Allocation</w:t>
      </w:r>
    </w:p>
    <w:p>
      <w:pPr>
        <w:pStyle w:val="FirstParagraph"/>
      </w:pPr>
      <w:r>
        <w:t xml:space="preserve">Emissions are allocated directly to the functional unit. For any co-product or by-product scenarios (not explicitly identified in the provided parameters), a mass-based allocation approach would be prioritized, followed by economic allocation if mass-based is not feasible, ensuring no double-counting of emissions.</w:t>
      </w:r>
    </w:p>
    <w:bookmarkEnd w:id="26"/>
    <w:bookmarkStart w:id="27" w:name="X504f4a86e01fdcfa46a4589bb1b5e0cfaad8629"/>
    <w:p>
      <w:pPr>
        <w:pStyle w:val="Heading3"/>
      </w:pPr>
      <w:r>
        <w:t xml:space="preserve">1.5. 2026 Land Sector and Removals (LSR) Standard Update</w:t>
      </w:r>
    </w:p>
    <w:p>
      <w:pPr>
        <w:pStyle w:val="FirstParagraph"/>
      </w:pPr>
      <w:r>
        <w:t xml:space="preserve">This report acknowledges and applies the principles of the GHG Protocol\'s Land Sector and Removals (LSR) Standard, which came into effect on January 1, 2027, with accompanying guidance published in Q2 2026. While specific land-use change data for the raw materials in "tdsvygvlet" were not provided, future iterations of this PCF should integrate detailed assessments of land management and land use change impacts, as well as potential CO2 removals with storage in land and geologic carbon pools, if applicable to the product\'s agricultural or bio-based components. For this report, the land use impact is assumed to be incorporated into the raw material emission factors where available, or considered negligible if not explicitly defined.</w:t>
      </w:r>
    </w:p>
    <w:bookmarkEnd w:id="27"/>
    <w:bookmarkStart w:id="28" w:name="scope-3-compliance"/>
    <w:p>
      <w:pPr>
        <w:pStyle w:val="Heading3"/>
      </w:pPr>
      <w:r>
        <w:t xml:space="preserve">1.6. Scope 3 Compliance</w:t>
      </w:r>
    </w:p>
    <w:p>
      <w:pPr>
        <w:pStyle w:val="FirstParagraph"/>
      </w:pPr>
      <w:r>
        <w:t xml:space="preserve">In line with 2026 requirements, this analysis aims to ensure at least **95% coverage for Scope 3 reporting**. This is achieved by meticulously including all relevant upstream and downstream activities beyond the factory gate, as detailed in the data collection and calculation sections.</w:t>
      </w:r>
    </w:p>
    <w:bookmarkEnd w:id="28"/>
    <w:bookmarkEnd w:id="29"/>
    <w:p>
      <w:r>
        <w:pict>
          <v:rect style="width:0;height:1.5pt" o:hralign="center" o:hrstd="t" o:hr="t"/>
        </w:pict>
      </w:r>
    </w:p>
    <w:bookmarkStart w:id="30" w:name="lifecycle-mapping-lci-inventory-stages"/>
    <w:p>
      <w:pPr>
        <w:pStyle w:val="Heading2"/>
      </w:pPr>
      <w:r>
        <w:t xml:space="preserve">2. Lifecycle Mapping (LCI Inventory Stages)</w:t>
      </w:r>
    </w:p>
    <w:p>
      <w:pPr>
        <w:pStyle w:val="FirstParagraph"/>
      </w:pPr>
      <w:r>
        <w:t xml:space="preserve">The lifecycle of the "tdsvygvlet" product is mapped to capture emissions across key stages. This forms the basis for the Life Cycle Inventory (LCI) data collection.</w:t>
      </w:r>
    </w:p>
    <w:p>
      <w:pPr>
        <w:numPr>
          <w:ilvl w:val="0"/>
          <w:numId w:val="1002"/>
        </w:numPr>
        <w:pStyle w:val="Compact"/>
      </w:pPr>
      <w:r>
        <w:rPr>
          <w:bCs/>
          <w:b/>
        </w:rPr>
        <w:t xml:space="preserve">Raw Material Acquisition &amp; Pre-processing (Upstream - Scope 3):</w:t>
      </w:r>
      <w:r>
        <w:t xml:space="preserve"> </w:t>
      </w:r>
      <w:r>
        <w:t xml:space="preserve">Extraction, processing, and refining of all materials listed in the Bill of Materials (BOM), including any packaging materials associated with inbound logistics.</w:t>
      </w:r>
    </w:p>
    <w:p>
      <w:pPr>
        <w:numPr>
          <w:ilvl w:val="0"/>
          <w:numId w:val="1002"/>
        </w:numPr>
        <w:pStyle w:val="Compact"/>
      </w:pPr>
      <w:r>
        <w:rPr>
          <w:bCs/>
          <w:b/>
        </w:rPr>
        <w:t xml:space="preserve">Manufacturing/Production (Core Operations - Scope 1 &amp; 2):</w:t>
      </w:r>
      <w:r>
        <w:t xml:space="preserve"> </w:t>
      </w:r>
      <w:r>
        <w:t xml:space="preserve">Energy consumption (electricity, heat, fuel) and direct process emissions at the intpjdwhyj manufacturing facility in China.</w:t>
      </w:r>
    </w:p>
    <w:p>
      <w:pPr>
        <w:numPr>
          <w:ilvl w:val="0"/>
          <w:numId w:val="1002"/>
        </w:numPr>
        <w:pStyle w:val="Compact"/>
      </w:pPr>
      <w:r>
        <w:rPr>
          <w:bCs/>
          <w:b/>
        </w:rPr>
        <w:t xml:space="preserve">Transport (Upstream &amp; Downstream - Scope 3):</w:t>
      </w:r>
    </w:p>
    <w:p>
      <w:pPr>
        <w:numPr>
          <w:ilvl w:val="1"/>
          <w:numId w:val="1003"/>
        </w:numPr>
        <w:pStyle w:val="Compact"/>
      </w:pPr>
      <w:r>
        <w:t xml:space="preserve">Inbound logistics of raw materials to the factory.</w:t>
      </w:r>
    </w:p>
    <w:p>
      <w:pPr>
        <w:numPr>
          <w:ilvl w:val="1"/>
          <w:numId w:val="1003"/>
        </w:numPr>
        <w:pStyle w:val="Compact"/>
      </w:pPr>
      <w:r>
        <w:t xml:space="preserve">Outbound logistics of the finished product to the customer, including last-mile delivery.</w:t>
      </w:r>
    </w:p>
    <w:p>
      <w:pPr>
        <w:numPr>
          <w:ilvl w:val="0"/>
          <w:numId w:val="1002"/>
        </w:numPr>
        <w:pStyle w:val="Compact"/>
      </w:pPr>
      <w:r>
        <w:rPr>
          <w:bCs/>
          <w:b/>
        </w:rPr>
        <w:t xml:space="preserve">Use Phase (Downstream - Scope 3):</w:t>
      </w:r>
      <w:r>
        <w:t xml:space="preserve"> </w:t>
      </w:r>
      <w:r>
        <w:t xml:space="preserve">Energy consumption during the product\'s operational lifespan.</w:t>
      </w:r>
    </w:p>
    <w:p>
      <w:pPr>
        <w:numPr>
          <w:ilvl w:val="0"/>
          <w:numId w:val="1002"/>
        </w:numPr>
        <w:pStyle w:val="Compact"/>
      </w:pPr>
      <w:r>
        <w:rPr>
          <w:bCs/>
          <w:b/>
        </w:rPr>
        <w:t xml:space="preserve">End-of-Life (Downstream - Scope 3):</w:t>
      </w:r>
      <w:r>
        <w:t xml:space="preserve"> </w:t>
      </w:r>
      <w:r>
        <w:t xml:space="preserve">Disposal, recycling, or recovery processes for the product at the end of its useful life.</w:t>
      </w:r>
    </w:p>
    <w:bookmarkEnd w:id="30"/>
    <w:p>
      <w:r>
        <w:pict>
          <v:rect style="width:0;height:1.5pt" o:hralign="center" o:hrstd="t" o:hr="t"/>
        </w:pict>
      </w:r>
    </w:p>
    <w:bookmarkStart w:id="36" w:name="data-collection"/>
    <w:p>
      <w:pPr>
        <w:pStyle w:val="Heading2"/>
      </w:pPr>
      <w:r>
        <w:t xml:space="preserve">3. Data Collection</w:t>
      </w:r>
    </w:p>
    <w:p>
      <w:pPr>
        <w:pStyle w:val="FirstParagraph"/>
      </w:pPr>
      <w:r>
        <w:t xml:space="preserve">Data was collected from primary sources (provided parameters) and supplemented with secondary, industry-standard emission factors where specific data was unavailable.</w:t>
      </w:r>
    </w:p>
    <w:bookmarkStart w:id="31" w:name="detailed-bill-of-materials-bom-oxwqimev"/>
    <w:p>
      <w:pPr>
        <w:pStyle w:val="Heading3"/>
      </w:pPr>
      <w:r>
        <w:t xml:space="preserve">3.1. Detailed Bill of Materials (BOM): oxwqimev</w:t>
      </w:r>
    </w:p>
    <w:p>
      <w:pPr>
        <w:pStyle w:val="FirstParagraph"/>
      </w:pPr>
      <w:r>
        <w:t xml:space="preserve">The following Bill of Materials (BOM) provides a high-accuracy material impact calculation for "tdsvygvlet". The emission factors for each material are used directly as provided or derived from reliable industry sources.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3.576</w:t>
            </w:r>
          </w:p>
        </w:tc>
        <w:tc>
          <w:tcPr/>
          <w:p>
            <w:pPr>
              <w:pStyle w:val="Compact"/>
              <w:jc w:val="left"/>
            </w:pPr>
            <w:r>
              <w:t xml:space="preserve">1.788</w:t>
            </w:r>
          </w:p>
        </w:tc>
      </w:tr>
      <w:tr>
        <w:tc>
          <w:tcPr/>
          <w:p>
            <w:pPr>
              <w:pStyle w:val="Compact"/>
              <w:jc w:val="left"/>
            </w:pPr>
            <w:r>
              <w:t xml:space="preserve">M002</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2.460</w:t>
            </w:r>
          </w:p>
        </w:tc>
        <w:tc>
          <w:tcPr/>
          <w:p>
            <w:pPr>
              <w:pStyle w:val="Compact"/>
              <w:jc w:val="left"/>
            </w:pPr>
            <w:r>
              <w:t xml:space="preserve">0.492</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1.000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0.750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0.075</w:t>
            </w:r>
          </w:p>
        </w:tc>
      </w:tr>
      <w:tr>
        <w:tc>
          <w:tcPr>
            <w:gridSpan w:val="7"/>
          </w:tcPr>
          <w:p>
            <w:pPr>
              <w:pStyle w:val="Compact"/>
              <w:jc w:val="right"/>
            </w:pPr>
            <w:r>
              <w:t xml:space="preserve">Total Material Carbon Impact:</w:t>
            </w:r>
          </w:p>
        </w:tc>
        <w:tc>
          <w:tcPr/>
          <w:p>
            <w:pPr>
              <w:pStyle w:val="Compact"/>
              <w:jc w:val="left"/>
            </w:pPr>
            <w:r>
              <w:t xml:space="preserve">4.105</w:t>
            </w:r>
          </w:p>
        </w:tc>
      </w:tr>
    </w:tbl>
    <w:bookmarkEnd w:id="31"/>
    <w:bookmarkStart w:id="32" w:name="production-energy-inputs"/>
    <w:p>
      <w:pPr>
        <w:pStyle w:val="Heading3"/>
      </w:pPr>
      <w:r>
        <w:t xml:space="preserve">3.2. Production Energy Inputs</w:t>
      </w:r>
    </w:p>
    <w:p>
      <w:pPr>
        <w:numPr>
          <w:ilvl w:val="0"/>
          <w:numId w:val="1004"/>
        </w:numPr>
        <w:pStyle w:val="Compact"/>
      </w:pPr>
      <w:r>
        <w:rPr>
          <w:bCs/>
          <w:b/>
        </w:rPr>
        <w:t xml:space="preserve">Renewable Energy Usage:</w:t>
      </w:r>
      <w:r>
        <w:t xml:space="preserve"> </w:t>
      </w:r>
      <w:r>
        <w:t xml:space="preserve">zxrmikwiww (60%)</w:t>
      </w:r>
    </w:p>
    <w:p>
      <w:pPr>
        <w:numPr>
          <w:ilvl w:val="0"/>
          <w:numId w:val="1004"/>
        </w:numPr>
        <w:pStyle w:val="Compact"/>
      </w:pPr>
      <w:r>
        <w:rPr>
          <w:bCs/>
          <w:b/>
        </w:rPr>
        <w:t xml:space="preserve">Energy Intensity (kWh/unit):</w:t>
      </w:r>
      <w:r>
        <w:t xml:space="preserve"> </w:t>
      </w:r>
      <w:r>
        <w:t xml:space="preserve">iwllehtveq (15 kWh/unit)</w:t>
      </w:r>
    </w:p>
    <w:p>
      <w:pPr>
        <w:numPr>
          <w:ilvl w:val="0"/>
          <w:numId w:val="1004"/>
        </w:numPr>
        <w:pStyle w:val="Compact"/>
      </w:pPr>
      <w:r>
        <w:rPr>
          <w:bCs/>
          <w:b/>
        </w:rPr>
        <w:t xml:space="preserve">Grid Electricity Emission Factor (China, estimated 2026):</w:t>
      </w:r>
      <w:r>
        <w:t xml:space="preserve"> </w:t>
      </w:r>
      <w:r>
        <w:t xml:space="preserve">0.5 kg CO2e/kWh</w:t>
      </w:r>
    </w:p>
    <w:bookmarkEnd w:id="32"/>
    <w:bookmarkStart w:id="33" w:name="logistics-data"/>
    <w:p>
      <w:pPr>
        <w:pStyle w:val="Heading3"/>
      </w:pPr>
      <w:r>
        <w:t xml:space="preserve">3.3. Logistics Data</w:t>
      </w:r>
    </w:p>
    <w:p>
      <w:pPr>
        <w:numPr>
          <w:ilvl w:val="0"/>
          <w:numId w:val="1005"/>
        </w:numPr>
        <w:pStyle w:val="Compact"/>
      </w:pPr>
      <w:r>
        <w:rPr>
          <w:bCs/>
          <w:b/>
        </w:rPr>
        <w:t xml:space="preserve">Transport Mode (Inbound/Outbound Logistics):</w:t>
      </w:r>
      <w:r>
        <w:t xml:space="preserve"> </w:t>
      </w:r>
      <w:r>
        <w:t xml:space="preserve">Select Mode (Truck - Heavy Goods Vehicle (HGV))</w:t>
      </w:r>
    </w:p>
    <w:p>
      <w:pPr>
        <w:numPr>
          <w:ilvl w:val="0"/>
          <w:numId w:val="1005"/>
        </w:numPr>
        <w:pStyle w:val="Compact"/>
      </w:pPr>
      <w:r>
        <w:rPr>
          <w:bCs/>
          <w:b/>
        </w:rPr>
        <w:t xml:space="preserve">Transport Distance (Average):</w:t>
      </w:r>
      <w:r>
        <w:t xml:space="preserve"> </w:t>
      </w:r>
      <w:r>
        <w:t xml:space="preserve">mygqvhrkdw (500 km)</w:t>
      </w:r>
    </w:p>
    <w:p>
      <w:pPr>
        <w:numPr>
          <w:ilvl w:val="0"/>
          <w:numId w:val="1005"/>
        </w:numPr>
        <w:pStyle w:val="Compact"/>
      </w:pPr>
      <w:r>
        <w:rPr>
          <w:bCs/>
          <w:b/>
        </w:rPr>
        <w:t xml:space="preserve">Last-Mile Delivery Channel:</w:t>
      </w:r>
      <w:r>
        <w:t xml:space="preserve"> </w:t>
      </w:r>
      <w:r>
        <w:t xml:space="preserve">Delivery Type (Courier Van)</w:t>
      </w:r>
    </w:p>
    <w:p>
      <w:pPr>
        <w:numPr>
          <w:ilvl w:val="0"/>
          <w:numId w:val="1005"/>
        </w:numPr>
        <w:pStyle w:val="Compact"/>
      </w:pPr>
      <w:r>
        <w:rPr>
          <w:bCs/>
          <w:b/>
        </w:rPr>
        <w:t xml:space="preserve">HGV Transport Emission Factor:</w:t>
      </w:r>
      <w:r>
        <w:t xml:space="preserve"> </w:t>
      </w:r>
      <w:r>
        <w:t xml:space="preserve">0.092 kg CO2e/tonne-km (Assuming product weight + packaging = 0.9 kg, rounded to 0.001 tonne for calculation simplicity, but will use total mass for calculation).</w:t>
      </w:r>
    </w:p>
    <w:p>
      <w:pPr>
        <w:numPr>
          <w:ilvl w:val="0"/>
          <w:numId w:val="1005"/>
        </w:numPr>
        <w:pStyle w:val="Compact"/>
      </w:pPr>
      <w:r>
        <w:rPr>
          <w:bCs/>
          <w:b/>
        </w:rPr>
        <w:t xml:space="preserve">Courier Van Emission Factor:</w:t>
      </w:r>
      <w:r>
        <w:t xml:space="preserve"> </w:t>
      </w:r>
      <w:r>
        <w:t xml:space="preserve">0.24934 kg CO2e/km (Assuming average last-mile distance of 50 km).</w:t>
      </w:r>
    </w:p>
    <w:bookmarkEnd w:id="33"/>
    <w:bookmarkStart w:id="34"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mdkevhfnmp (5 years)</w:t>
      </w:r>
    </w:p>
    <w:p>
      <w:pPr>
        <w:numPr>
          <w:ilvl w:val="0"/>
          <w:numId w:val="1006"/>
        </w:numPr>
        <w:pStyle w:val="Compact"/>
      </w:pPr>
      <w:r>
        <w:rPr>
          <w:bCs/>
          <w:b/>
        </w:rPr>
        <w:t xml:space="preserve">Energy Consumption in Use:</w:t>
      </w:r>
      <w:r>
        <w:t xml:space="preserve"> </w:t>
      </w:r>
      <w:r>
        <w:t xml:space="preserve">grzdmzelmz (2 kWh/year)</w:t>
      </w:r>
    </w:p>
    <w:p>
      <w:pPr>
        <w:numPr>
          <w:ilvl w:val="0"/>
          <w:numId w:val="1006"/>
        </w:numPr>
        <w:pStyle w:val="Compact"/>
      </w:pPr>
      <w:r>
        <w:rPr>
          <w:bCs/>
          <w:b/>
        </w:rPr>
        <w:t xml:space="preserve">Electricity Emission Factor (User Location - assumed global average for use phase consistency):</w:t>
      </w:r>
      <w:r>
        <w:t xml:space="preserve"> </w:t>
      </w:r>
      <w:r>
        <w:t xml:space="preserve">0.5 kg CO2e/kWh (approximation for average grid mix in relevant use regions, but noted that actual user location varies)</w:t>
      </w:r>
    </w:p>
    <w:bookmarkEnd w:id="34"/>
    <w:bookmarkStart w:id="35"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ilulkkwfup (80% of total product mass)</w:t>
      </w:r>
    </w:p>
    <w:p>
      <w:pPr>
        <w:numPr>
          <w:ilvl w:val="0"/>
          <w:numId w:val="1007"/>
        </w:numPr>
        <w:pStyle w:val="Compact"/>
      </w:pPr>
      <w:r>
        <w:rPr>
          <w:bCs/>
          <w:b/>
        </w:rPr>
        <w:t xml:space="preserve">Circular/Take-back Programs:</w:t>
      </w:r>
      <w:r>
        <w:t xml:space="preserve"> </w:t>
      </w:r>
      <w:r>
        <w:t xml:space="preserve">ugtvvhkulr (intpjdwhyj operates a regional take-back program encouraging product return for material recovery and responsible disposal, reducing landfilling and promoting circularity).</w:t>
      </w:r>
    </w:p>
    <w:p>
      <w:pPr>
        <w:numPr>
          <w:ilvl w:val="0"/>
          <w:numId w:val="1007"/>
        </w:numPr>
        <w:pStyle w:val="Compact"/>
      </w:pPr>
      <w:r>
        <w:rPr>
          <w:bCs/>
          <w:b/>
        </w:rPr>
        <w:t xml:space="preserve">EoL Emission Factor - Landfill (net, for non-recycled portion):</w:t>
      </w:r>
      <w:r>
        <w:t xml:space="preserve"> </w:t>
      </w:r>
      <w:r>
        <w:t xml:space="preserve">0.8 kg CO2e/kg (simulated for mixed materials).</w:t>
      </w:r>
    </w:p>
    <w:p>
      <w:pPr>
        <w:numPr>
          <w:ilvl w:val="0"/>
          <w:numId w:val="1007"/>
        </w:numPr>
        <w:pStyle w:val="Compact"/>
      </w:pPr>
      <w:r>
        <w:rPr>
          <w:bCs/>
          <w:b/>
        </w:rPr>
        <w:t xml:space="preserve">EoL Emission Factor - Recycling (net avoided emissions/benefit):</w:t>
      </w:r>
      <w:r>
        <w:t xml:space="preserve"> </w:t>
      </w:r>
      <w:r>
        <w:t xml:space="preserve">-1.0 kg CO2e/kg (simulated, representing avoided virgin material production).</w:t>
      </w:r>
    </w:p>
    <w:bookmarkEnd w:id="35"/>
    <w:bookmarkEnd w:id="36"/>
    <w:p>
      <w:r>
        <w:pict>
          <v:rect style="width:0;height:1.5pt" o:hralign="center" o:hrstd="t" o:hr="t"/>
        </w:pict>
      </w:r>
    </w:p>
    <w:bookmarkStart w:id="39" w:name="emissions-calculation"/>
    <w:p>
      <w:pPr>
        <w:pStyle w:val="Heading2"/>
      </w:pPr>
      <w:r>
        <w:t xml:space="preserve">4. Emissions Calculation</w:t>
      </w:r>
    </w:p>
    <w:p>
      <w:pPr>
        <w:pStyle w:val="FirstParagraph"/>
      </w:pPr>
      <w:r>
        <w:t xml:space="preserve">Emissions are calculated using the formula: Activity Data × Emission Factor = CO2e. Results are presented in kg CO2e per functional unit.</w:t>
      </w:r>
    </w:p>
    <w:bookmarkStart w:id="38" w:name="X194a032d9105e1b6987e6aeeb6a6d57c2787855"/>
    <w:p>
      <w:pPr>
        <w:pStyle w:val="Heading3"/>
      </w:pPr>
      <w:r>
        <w:t xml:space="preserve">4.1. Scope 3: Upstream Emissions (Raw Materials &amp; Inbound Transport)</w:t>
      </w:r>
    </w:p>
    <w:bookmarkStart w:id="37" w:name="material-acquisition-pre-processing"/>
    <w:p>
      <w:pPr>
        <w:pStyle w:val="Heading4"/>
      </w:pPr>
      <w:r>
        <w:t xml:space="preserve">4.1.1. Material Acquisition &amp; Pre-processing</w:t>
      </w:r>
    </w:p>
    <w:p>
      <w:pPr>
        <w:pStyle w:val="FirstParagraph"/>
      </w:pPr>
      <w:r>
        <w:t xml:space="preserve">Based on the Detailed Bill of Materials (BOM) for `oxwqimev`:</w:t>
      </w:r>
    </w:p>
    <w:p>
      <w:pPr>
        <w:pStyle w:val="BodyText"/>
      </w:pPr>
      <w:r>
        <w:t xml:space="preserve">\'M001\', \'Description\' =&gt; \'Plastic Casing\', \'Category\' =&gt; \'Plastics\', \'Process\' =&gt; \'Injection Molding\', \'Qty\' =&gt; 0.50, \'Unit\' =&gt; \'kg\', \'Emission Factor\' =&gt; 3.576],</w:t>
      </w:r>
      <w:r>
        <w:t xml:space="preserve"> </w:t>
      </w:r>
      <w:r>
        <w:t xml:space="preserve">[\'ID\' =&gt; \'M002\', \'Description\' =&gt; \'Steel Frame\', \'Category\' =&gt; \'Metals\', \'Process\' =&gt; \'Fabrication\', \'Qty\' =&gt; 0.20, \'Unit\' =&gt; \'kg\', \'Emission Factor\' =&gt; 2.460],</w:t>
      </w:r>
      <w:r>
        <w:t xml:space="preserve"> </w:t>
      </w:r>
      <w:r>
        <w:t xml:space="preserve">[\'ID\' =&gt; \'M003\', \'Description\' =&gt; \'Electronic Board\', \'Category\' =&gt; \'Electronics\', \'Process\' =&gt; \'Assembly\', \'Qty\' =&gt; 0.10, \'Unit\' =&gt; \'kg\', \'Emission Factor\' =&gt; 10.000],</w:t>
      </w:r>
      <w:r>
        <w:t xml:space="preserve"> </w:t>
      </w:r>
      <w:r>
        <w:t xml:space="preserve">[\'ID\' =&gt; \'M004\', \'Description\' =&gt; \'Lithium-ion Battery\', \'Category\' =&gt; \'Electronics\', \'Process\' =&gt; \'Manufacturing\', \'Qty\' =&gt; 0.05, \'Unit\' =&gt; \'kg\', \'Emission Factor\' =&gt; 15.000],</w:t>
      </w:r>
      <w:r>
        <w:t xml:space="preserve"> </w:t>
      </w:r>
      <w:r>
        <w:t xml:space="preserve">[\'ID\' =&gt; \'M005\', \'Description\' =&gt; \'Packaging (Cardboard)\', \'Category\' =&gt; \'Paper &amp; Board\', \'Process\' =&gt; \'Conversion\', \'Qty\' =&gt; 0.05, \'Unit\' =&gt; \'kg\', \'Emission Factor\' =&gt; 1.500],</w:t>
      </w:r>
      <w:r>
        <w:t xml:space="preserve"> </w:t>
      </w:r>
      <w:r>
        <w:t xml:space="preserve">];</w:t>
      </w:r>
      <w:r>
        <w:t xml:space="preserve"> </w:t>
      </w:r>
      <w:r>
        <w:t xml:space="preserve">$total_material_carbon = 0;</w:t>
      </w:r>
      <w:r>
        <w:t xml:space="preserve"> </w:t>
      </w:r>
      <w:r>
        <w:t xml:space="preserve">foreach ($bom_data as &amp;$item) {</w:t>
      </w:r>
      <w:r>
        <w:t xml:space="preserve"> </w:t>
      </w:r>
      <w:r>
        <w:t xml:space="preserve">$item[\'Total Carbon\'] = $item[\'Qty\'] * $item[\'Emission Factor\'];</w:t>
      </w:r>
      <w:r>
        <w:t xml:space="preserve"> </w:t>
      </w:r>
      <w:r>
        <w:t xml:space="preserve">$total_material_carbon += $item[\'Total Carbon\'];</w:t>
      </w:r>
      <w:r>
        <w:t xml:space="preserve"> </w:t>
      </w:r>
      <w:r>
        <w:t xml:space="preserve">}</w:t>
      </w:r>
      <w:r>
        <w:t xml:space="preserve"> </w:t>
      </w:r>
      <w:r>
        <w:t xml:space="preserve">?&gt;</w:t>
      </w:r>
    </w:p>
    <w:p>
      <w:pPr>
        <w:pStyle w:val="BodyText"/>
      </w:pPr>
      <w:r>
        <w:t xml:space="preserve">Description</w:t>
      </w:r>
    </w:p>
    <w:bookmarkEnd w:id="37"/>
    <w:bookmarkEnd w:id="38"/>
    <w:bookmarkEnd w:id="39"/>
    <w:p>
      <w:pPr>
        <w:pStyle w:val="BodyText"/>
      </w:pPr>
      <w:r>
        <w:t xml:space="preserve">Qty (kg)</w:t>
      </w:r>
    </w:p>
    <w:p>
      <w:pPr>
        <w:pStyle w:val="BodyText"/>
      </w:pPr>
      <w:r>
        <w:t xml:space="preserve">Emission Factor (kg CO2e/kg)</w:t>
      </w:r>
    </w:p>
    <w:p>
      <w:pPr>
        <w:pStyle w:val="BodyText"/>
      </w:pPr>
      <w:r>
        <w:t xml:space="preserve">Total Carbon (kg CO2e)</w:t>
      </w:r>
    </w:p>
    <w:p>
      <w:pPr>
        <w:pStyle w:val="BodyText"/>
      </w:pPr>
      <w:r>
        <w:t xml:space="preserve">Subtotal Material Acquisition (Scope 3):</w:t>
      </w:r>
    </w:p>
    <w:bookmarkStart w:id="40" w:name="inbound-transportation"/>
    <w:p>
      <w:pPr>
        <w:pStyle w:val="Heading4"/>
      </w:pPr>
      <w:r>
        <w:t xml:space="preserve">4.1.2. Inbound Transportation</w:t>
      </w:r>
    </w:p>
    <w:p>
      <w:pPr>
        <w:numPr>
          <w:ilvl w:val="0"/>
          <w:numId w:val="1008"/>
        </w:numPr>
        <w:pStyle w:val="Compact"/>
      </w:pPr>
      <w:r>
        <w:t xml:space="preserve">Product Mass (total, approx):</w:t>
      </w:r>
    </w:p>
    <w:p>
      <w:pPr>
        <w:numPr>
          <w:ilvl w:val="0"/>
          <w:numId w:val="1000"/>
        </w:numPr>
        <w:pStyle w:val="Compact"/>
      </w:pPr>
      <w:r>
        <w:t xml:space="preserve">kg</w:t>
      </w:r>
    </w:p>
    <w:p>
      <w:pPr>
        <w:numPr>
          <w:ilvl w:val="0"/>
          <w:numId w:val="1008"/>
        </w:numPr>
        <w:pStyle w:val="Compact"/>
      </w:pPr>
      <w:r>
        <w:t xml:space="preserve">Transport Mode: Truck (HGV)</w:t>
      </w:r>
    </w:p>
    <w:p>
      <w:pPr>
        <w:numPr>
          <w:ilvl w:val="0"/>
          <w:numId w:val="1008"/>
        </w:numPr>
        <w:pStyle w:val="Compact"/>
      </w:pPr>
      <w:r>
        <w:t xml:space="preserve">Distance:</w:t>
      </w:r>
    </w:p>
    <w:p>
      <w:pPr>
        <w:numPr>
          <w:ilvl w:val="0"/>
          <w:numId w:val="1000"/>
        </w:numPr>
        <w:pStyle w:val="Compact"/>
      </w:pPr>
      <w:r>
        <w:t xml:space="preserve">km</w:t>
      </w:r>
    </w:p>
    <w:p>
      <w:pPr>
        <w:numPr>
          <w:ilvl w:val="0"/>
          <w:numId w:val="1008"/>
        </w:numPr>
        <w:pStyle w:val="Compact"/>
      </w:pPr>
      <w:r>
        <w:t xml:space="preserve">Emission Factor:</w:t>
      </w:r>
    </w:p>
    <w:p>
      <w:pPr>
        <w:numPr>
          <w:ilvl w:val="0"/>
          <w:numId w:val="1000"/>
        </w:numPr>
        <w:pStyle w:val="Compact"/>
      </w:pPr>
      <w:r>
        <w:t xml:space="preserve">kg CO2e/tonne-km</w:t>
      </w:r>
    </w:p>
    <w:p>
      <w:pPr>
        <w:numPr>
          <w:ilvl w:val="0"/>
          <w:numId w:val="1008"/>
        </w:numPr>
        <w:pStyle w:val="Compact"/>
      </w:pPr>
      <w:r>
        <w:t xml:space="preserve">Calculation: (</w:t>
      </w:r>
    </w:p>
    <w:p>
      <w:pPr>
        <w:numPr>
          <w:ilvl w:val="0"/>
          <w:numId w:val="1000"/>
        </w:numPr>
        <w:pStyle w:val="Compact"/>
      </w:pPr>
      <w:r>
        <w:t xml:space="preserve">kg / 1000 kg/tonne) *</w:t>
      </w:r>
    </w:p>
    <w:p>
      <w:pPr>
        <w:numPr>
          <w:ilvl w:val="0"/>
          <w:numId w:val="1000"/>
        </w:numPr>
        <w:pStyle w:val="Compact"/>
      </w:pPr>
      <w:r>
        <w:t xml:space="preserve">km *</w:t>
      </w:r>
    </w:p>
    <w:p>
      <w:pPr>
        <w:numPr>
          <w:ilvl w:val="0"/>
          <w:numId w:val="1000"/>
        </w:numPr>
        <w:pStyle w:val="Compact"/>
      </w:pPr>
      <w:r>
        <w:t xml:space="preserve">kg CO2e/tonne-km</w:t>
      </w:r>
    </w:p>
    <w:p>
      <w:pPr>
        <w:numPr>
          <w:ilvl w:val="0"/>
          <w:numId w:val="1008"/>
        </w:numPr>
        <w:pStyle w:val="Compact"/>
      </w:pPr>
      <w:r>
        <w:t xml:space="preserve">Subtotal Inbound Transportation (Scope 3): **</w:t>
      </w:r>
    </w:p>
    <w:p>
      <w:pPr>
        <w:numPr>
          <w:ilvl w:val="0"/>
          <w:numId w:val="1000"/>
        </w:numPr>
        <w:pStyle w:val="Compact"/>
      </w:pPr>
      <w:r>
        <w:t xml:space="preserve">kg CO2e**</w:t>
      </w:r>
    </w:p>
    <w:bookmarkEnd w:id="40"/>
    <w:bookmarkStart w:id="41" w:name="Xf771e026311d07f77b4932f187f8b21ff072be5"/>
    <w:p>
      <w:pPr>
        <w:pStyle w:val="Heading3"/>
      </w:pPr>
      <w:r>
        <w:t xml:space="preserve">4.2. Scope 1 &amp; 2: Manufacturing/Production Emissions</w:t>
      </w:r>
    </w:p>
    <w:p>
      <w:pPr>
        <w:numPr>
          <w:ilvl w:val="0"/>
          <w:numId w:val="1009"/>
        </w:numPr>
        <w:pStyle w:val="Compact"/>
      </w:pPr>
      <w:r>
        <w:t xml:space="preserve">Energy Intensity:</w:t>
      </w:r>
    </w:p>
    <w:p>
      <w:pPr>
        <w:numPr>
          <w:ilvl w:val="0"/>
          <w:numId w:val="1000"/>
        </w:numPr>
        <w:pStyle w:val="Compact"/>
      </w:pPr>
      <w:r>
        <w:t xml:space="preserve">kWh/unit</w:t>
      </w:r>
    </w:p>
    <w:p>
      <w:pPr>
        <w:numPr>
          <w:ilvl w:val="0"/>
          <w:numId w:val="1009"/>
        </w:numPr>
        <w:pStyle w:val="Compact"/>
      </w:pPr>
      <w:r>
        <w:t xml:space="preserve">Renewable Energy Usage:</w:t>
      </w:r>
    </w:p>
    <w:p>
      <w:pPr>
        <w:numPr>
          <w:ilvl w:val="0"/>
          <w:numId w:val="1000"/>
        </w:numPr>
        <w:pStyle w:val="Compact"/>
      </w:pPr>
      <w:r>
        <w:t xml:space="preserve">%</w:t>
      </w:r>
    </w:p>
    <w:p>
      <w:pPr>
        <w:numPr>
          <w:ilvl w:val="0"/>
          <w:numId w:val="1009"/>
        </w:numPr>
        <w:pStyle w:val="Compact"/>
      </w:pPr>
      <w:r>
        <w:t xml:space="preserve">Non-Renewable Electricity Consumed:</w:t>
      </w:r>
    </w:p>
    <w:p>
      <w:pPr>
        <w:numPr>
          <w:ilvl w:val="0"/>
          <w:numId w:val="1000"/>
        </w:numPr>
        <w:pStyle w:val="Compact"/>
      </w:pPr>
      <w:r>
        <w:t xml:space="preserve">kWh/unit</w:t>
      </w:r>
    </w:p>
    <w:p>
      <w:pPr>
        <w:numPr>
          <w:ilvl w:val="0"/>
          <w:numId w:val="1009"/>
        </w:numPr>
        <w:pStyle w:val="Compact"/>
      </w:pPr>
      <w:r>
        <w:t xml:space="preserve">China Grid Emission Factor:</w:t>
      </w:r>
    </w:p>
    <w:p>
      <w:pPr>
        <w:numPr>
          <w:ilvl w:val="0"/>
          <w:numId w:val="1000"/>
        </w:numPr>
        <w:pStyle w:val="Compact"/>
      </w:pPr>
      <w:r>
        <w:t xml:space="preserve">kg CO2e/kWh</w:t>
      </w:r>
    </w:p>
    <w:p>
      <w:pPr>
        <w:numPr>
          <w:ilvl w:val="0"/>
          <w:numId w:val="1009"/>
        </w:numPr>
        <w:pStyle w:val="Compact"/>
      </w:pPr>
      <w:r>
        <w:t xml:space="preserve">Subtotal Manufacturing (Scope 1): **</w:t>
      </w:r>
    </w:p>
    <w:p>
      <w:pPr>
        <w:numPr>
          <w:ilvl w:val="0"/>
          <w:numId w:val="1000"/>
        </w:numPr>
        <w:pStyle w:val="Compact"/>
      </w:pPr>
      <w:r>
        <w:t xml:space="preserve">kg CO2e** (Assumed negligible direct emissions)</w:t>
      </w:r>
    </w:p>
    <w:p>
      <w:pPr>
        <w:numPr>
          <w:ilvl w:val="0"/>
          <w:numId w:val="1009"/>
        </w:numPr>
        <w:pStyle w:val="Compact"/>
      </w:pPr>
      <w:r>
        <w:t xml:space="preserve">Subtotal Manufacturing (Scope 2): **</w:t>
      </w:r>
    </w:p>
    <w:p>
      <w:pPr>
        <w:numPr>
          <w:ilvl w:val="0"/>
          <w:numId w:val="1000"/>
        </w:numPr>
        <w:pStyle w:val="Compact"/>
      </w:pPr>
      <w:r>
        <w:t xml:space="preserve">kg CO2e**</w:t>
      </w:r>
    </w:p>
    <w:bookmarkEnd w:id="41"/>
    <w:bookmarkStart w:id="44" w:name="X7e07974a4641d7bdf8b75a0e276dbeb5c22de5d"/>
    <w:p>
      <w:pPr>
        <w:pStyle w:val="Heading3"/>
      </w:pPr>
      <w:r>
        <w:t xml:space="preserve">4.3. Scope 3: Downstream Transportation (Outbound)</w:t>
      </w:r>
    </w:p>
    <w:bookmarkStart w:id="42" w:name="X37008425f49e0a18da617af2e49528ca84507cb"/>
    <w:p>
      <w:pPr>
        <w:pStyle w:val="Heading4"/>
      </w:pPr>
      <w:r>
        <w:t xml:space="preserve">4.3.1. Primary Outbound Transport (Factory to Distribution)</w:t>
      </w:r>
    </w:p>
    <w:p>
      <w:pPr>
        <w:numPr>
          <w:ilvl w:val="0"/>
          <w:numId w:val="1010"/>
        </w:numPr>
        <w:pStyle w:val="Compact"/>
      </w:pPr>
      <w:r>
        <w:t xml:space="preserve">Product Mass (total, approx):</w:t>
      </w:r>
    </w:p>
    <w:p>
      <w:pPr>
        <w:numPr>
          <w:ilvl w:val="0"/>
          <w:numId w:val="1000"/>
        </w:numPr>
        <w:pStyle w:val="Compact"/>
      </w:pPr>
      <w:r>
        <w:t xml:space="preserve">kg</w:t>
      </w:r>
    </w:p>
    <w:p>
      <w:pPr>
        <w:numPr>
          <w:ilvl w:val="0"/>
          <w:numId w:val="1010"/>
        </w:numPr>
        <w:pStyle w:val="Compact"/>
      </w:pPr>
      <w:r>
        <w:t xml:space="preserve">Transport Mode: Truck (HGV)</w:t>
      </w:r>
    </w:p>
    <w:p>
      <w:pPr>
        <w:numPr>
          <w:ilvl w:val="0"/>
          <w:numId w:val="1010"/>
        </w:numPr>
        <w:pStyle w:val="Compact"/>
      </w:pPr>
      <w:r>
        <w:t xml:space="preserve">Distance:</w:t>
      </w:r>
    </w:p>
    <w:p>
      <w:pPr>
        <w:numPr>
          <w:ilvl w:val="0"/>
          <w:numId w:val="1000"/>
        </w:numPr>
        <w:pStyle w:val="Compact"/>
      </w:pPr>
      <w:r>
        <w:t xml:space="preserve">km</w:t>
      </w:r>
    </w:p>
    <w:p>
      <w:pPr>
        <w:numPr>
          <w:ilvl w:val="0"/>
          <w:numId w:val="1010"/>
        </w:numPr>
        <w:pStyle w:val="Compact"/>
      </w:pPr>
      <w:r>
        <w:t xml:space="preserve">Emission Factor:</w:t>
      </w:r>
    </w:p>
    <w:p>
      <w:pPr>
        <w:numPr>
          <w:ilvl w:val="0"/>
          <w:numId w:val="1000"/>
        </w:numPr>
        <w:pStyle w:val="Compact"/>
      </w:pPr>
      <w:r>
        <w:t xml:space="preserve">kg CO2e/tonne-km</w:t>
      </w:r>
    </w:p>
    <w:p>
      <w:pPr>
        <w:numPr>
          <w:ilvl w:val="0"/>
          <w:numId w:val="1010"/>
        </w:numPr>
        <w:pStyle w:val="Compact"/>
      </w:pPr>
      <w:r>
        <w:t xml:space="preserve">Subtotal Primary Outbound Transportation (Scope 3): **</w:t>
      </w:r>
    </w:p>
    <w:p>
      <w:pPr>
        <w:numPr>
          <w:ilvl w:val="0"/>
          <w:numId w:val="1000"/>
        </w:numPr>
        <w:pStyle w:val="Compact"/>
      </w:pPr>
      <w:r>
        <w:t xml:space="preserve">kg CO2e**</w:t>
      </w:r>
    </w:p>
    <w:bookmarkEnd w:id="42"/>
    <w:bookmarkStart w:id="43" w:name="last-mile-delivery"/>
    <w:p>
      <w:pPr>
        <w:pStyle w:val="Heading4"/>
      </w:pPr>
      <w:r>
        <w:t xml:space="preserve">4.3.2. Last-Mile Delivery</w:t>
      </w:r>
    </w:p>
    <w:p>
      <w:pPr>
        <w:numPr>
          <w:ilvl w:val="0"/>
          <w:numId w:val="1011"/>
        </w:numPr>
        <w:pStyle w:val="Compact"/>
      </w:pPr>
      <w:r>
        <w:t xml:space="preserve">Delivery Channel: Courier Van</w:t>
      </w:r>
    </w:p>
    <w:p>
      <w:pPr>
        <w:numPr>
          <w:ilvl w:val="0"/>
          <w:numId w:val="1011"/>
        </w:numPr>
        <w:pStyle w:val="Compact"/>
      </w:pPr>
      <w:r>
        <w:t xml:space="preserve">Average Last-Mile Distance:</w:t>
      </w:r>
    </w:p>
    <w:p>
      <w:pPr>
        <w:numPr>
          <w:ilvl w:val="0"/>
          <w:numId w:val="1000"/>
        </w:numPr>
        <w:pStyle w:val="Compact"/>
      </w:pPr>
      <w:r>
        <w:t xml:space="preserve">km</w:t>
      </w:r>
    </w:p>
    <w:p>
      <w:pPr>
        <w:numPr>
          <w:ilvl w:val="0"/>
          <w:numId w:val="1011"/>
        </w:numPr>
        <w:pStyle w:val="Compact"/>
      </w:pPr>
      <w:r>
        <w:t xml:space="preserve">Emission Factor:</w:t>
      </w:r>
    </w:p>
    <w:p>
      <w:pPr>
        <w:numPr>
          <w:ilvl w:val="0"/>
          <w:numId w:val="1000"/>
        </w:numPr>
        <w:pStyle w:val="Compact"/>
      </w:pPr>
      <w:r>
        <w:t xml:space="preserve">kg CO2e/km</w:t>
      </w:r>
    </w:p>
    <w:p>
      <w:pPr>
        <w:numPr>
          <w:ilvl w:val="0"/>
          <w:numId w:val="1011"/>
        </w:numPr>
        <w:pStyle w:val="Compact"/>
      </w:pPr>
      <w:r>
        <w:t xml:space="preserve">Subtotal Last-Mile Delivery (Scope 3): **</w:t>
      </w:r>
    </w:p>
    <w:p>
      <w:pPr>
        <w:numPr>
          <w:ilvl w:val="0"/>
          <w:numId w:val="1000"/>
        </w:numPr>
        <w:pStyle w:val="Compact"/>
      </w:pPr>
      <w:r>
        <w:t xml:space="preserve">kg CO2e**</w:t>
      </w:r>
    </w:p>
    <w:bookmarkEnd w:id="43"/>
    <w:bookmarkEnd w:id="44"/>
    <w:bookmarkStart w:id="45" w:name="scope-3-use-phase-emissions"/>
    <w:p>
      <w:pPr>
        <w:pStyle w:val="Heading3"/>
      </w:pPr>
      <w:r>
        <w:t xml:space="preserve">4.4. Scope 3: Use Phase Emissions</w:t>
      </w:r>
    </w:p>
    <w:p>
      <w:pPr>
        <w:numPr>
          <w:ilvl w:val="0"/>
          <w:numId w:val="1012"/>
        </w:numPr>
        <w:pStyle w:val="Compact"/>
      </w:pPr>
      <w:r>
        <w:t xml:space="preserve">Product Lifespan:</w:t>
      </w:r>
    </w:p>
    <w:p>
      <w:pPr>
        <w:numPr>
          <w:ilvl w:val="0"/>
          <w:numId w:val="1000"/>
        </w:numPr>
        <w:pStyle w:val="Compact"/>
      </w:pPr>
      <w:r>
        <w:t xml:space="preserve">years</w:t>
      </w:r>
    </w:p>
    <w:p>
      <w:pPr>
        <w:numPr>
          <w:ilvl w:val="0"/>
          <w:numId w:val="1012"/>
        </w:numPr>
        <w:pStyle w:val="Compact"/>
      </w:pPr>
      <w:r>
        <w:t xml:space="preserve">Energy Consumption in Use:</w:t>
      </w:r>
    </w:p>
    <w:p>
      <w:pPr>
        <w:numPr>
          <w:ilvl w:val="0"/>
          <w:numId w:val="1000"/>
        </w:numPr>
        <w:pStyle w:val="Compact"/>
      </w:pPr>
      <w:r>
        <w:t xml:space="preserve">kWh/year</w:t>
      </w:r>
    </w:p>
    <w:p>
      <w:pPr>
        <w:numPr>
          <w:ilvl w:val="0"/>
          <w:numId w:val="1012"/>
        </w:numPr>
        <w:pStyle w:val="Compact"/>
      </w:pPr>
      <w:r>
        <w:t xml:space="preserve">Total Energy Consumed Over Lifespan:</w:t>
      </w:r>
    </w:p>
    <w:p>
      <w:pPr>
        <w:numPr>
          <w:ilvl w:val="0"/>
          <w:numId w:val="1000"/>
        </w:numPr>
        <w:pStyle w:val="Compact"/>
      </w:pPr>
      <w:r>
        <w:t xml:space="preserve">kWh</w:t>
      </w:r>
    </w:p>
    <w:p>
      <w:pPr>
        <w:numPr>
          <w:ilvl w:val="0"/>
          <w:numId w:val="1012"/>
        </w:numPr>
        <w:pStyle w:val="Compact"/>
      </w:pPr>
      <w:r>
        <w:t xml:space="preserve">Electricity Emission Factor (User):</w:t>
      </w:r>
    </w:p>
    <w:p>
      <w:pPr>
        <w:numPr>
          <w:ilvl w:val="0"/>
          <w:numId w:val="1000"/>
        </w:numPr>
        <w:pStyle w:val="Compact"/>
      </w:pPr>
      <w:r>
        <w:t xml:space="preserve">kg CO2e/kWh</w:t>
      </w:r>
    </w:p>
    <w:p>
      <w:pPr>
        <w:numPr>
          <w:ilvl w:val="0"/>
          <w:numId w:val="1012"/>
        </w:numPr>
        <w:pStyle w:val="Compact"/>
      </w:pPr>
      <w:r>
        <w:t xml:space="preserve">Subtotal Use Phase (Scope 3): **</w:t>
      </w:r>
    </w:p>
    <w:p>
      <w:pPr>
        <w:numPr>
          <w:ilvl w:val="0"/>
          <w:numId w:val="1000"/>
        </w:numPr>
        <w:pStyle w:val="Compact"/>
      </w:pPr>
      <w:r>
        <w:t xml:space="preserve">kg CO2e**</w:t>
      </w:r>
    </w:p>
    <w:bookmarkEnd w:id="45"/>
    <w:bookmarkStart w:id="46" w:name="scope-3-end-of-life-eol-emissions"/>
    <w:p>
      <w:pPr>
        <w:pStyle w:val="Heading3"/>
      </w:pPr>
      <w:r>
        <w:t xml:space="preserve">4.5. Scope 3: End-of-Life (EoL) Emissions</w:t>
      </w:r>
    </w:p>
    <w:p>
      <w:pPr>
        <w:numPr>
          <w:ilvl w:val="0"/>
          <w:numId w:val="1013"/>
        </w:numPr>
        <w:pStyle w:val="Compact"/>
      </w:pPr>
      <w:r>
        <w:t xml:space="preserve">Product Total Mass:</w:t>
      </w:r>
    </w:p>
    <w:p>
      <w:pPr>
        <w:numPr>
          <w:ilvl w:val="0"/>
          <w:numId w:val="1000"/>
        </w:numPr>
        <w:pStyle w:val="Compact"/>
      </w:pPr>
      <w:r>
        <w:t xml:space="preserve">kg</w:t>
      </w:r>
    </w:p>
    <w:p>
      <w:pPr>
        <w:numPr>
          <w:ilvl w:val="0"/>
          <w:numId w:val="1013"/>
        </w:numPr>
        <w:pStyle w:val="Compact"/>
      </w:pPr>
      <w:r>
        <w:t xml:space="preserve">Recyclability Percentage:</w:t>
      </w:r>
    </w:p>
    <w:p>
      <w:pPr>
        <w:numPr>
          <w:ilvl w:val="0"/>
          <w:numId w:val="1000"/>
        </w:numPr>
        <w:pStyle w:val="Compact"/>
      </w:pPr>
      <w:r>
        <w:t xml:space="preserve">%</w:t>
      </w:r>
    </w:p>
    <w:p>
      <w:pPr>
        <w:numPr>
          <w:ilvl w:val="0"/>
          <w:numId w:val="1013"/>
        </w:numPr>
        <w:pStyle w:val="Compact"/>
      </w:pPr>
      <w:r>
        <w:t xml:space="preserve">Mass Recycled:</w:t>
      </w:r>
    </w:p>
    <w:p>
      <w:pPr>
        <w:numPr>
          <w:ilvl w:val="0"/>
          <w:numId w:val="1000"/>
        </w:numPr>
        <w:pStyle w:val="Compact"/>
      </w:pPr>
      <w:r>
        <w:t xml:space="preserve">kg</w:t>
      </w:r>
    </w:p>
    <w:p>
      <w:pPr>
        <w:numPr>
          <w:ilvl w:val="0"/>
          <w:numId w:val="1013"/>
        </w:numPr>
        <w:pStyle w:val="Compact"/>
      </w:pPr>
      <w:r>
        <w:t xml:space="preserve">Mass Landfilled:</w:t>
      </w:r>
    </w:p>
    <w:p>
      <w:pPr>
        <w:numPr>
          <w:ilvl w:val="0"/>
          <w:numId w:val="1000"/>
        </w:numPr>
        <w:pStyle w:val="Compact"/>
      </w:pPr>
      <w:r>
        <w:t xml:space="preserve">kg</w:t>
      </w:r>
    </w:p>
    <w:p>
      <w:pPr>
        <w:numPr>
          <w:ilvl w:val="0"/>
          <w:numId w:val="1013"/>
        </w:numPr>
        <w:pStyle w:val="Compact"/>
      </w:pPr>
      <w:r>
        <w:t xml:space="preserve">EoL Emissions from Landfill:</w:t>
      </w:r>
    </w:p>
    <w:p>
      <w:pPr>
        <w:numPr>
          <w:ilvl w:val="0"/>
          <w:numId w:val="1000"/>
        </w:numPr>
        <w:pStyle w:val="Compact"/>
      </w:pPr>
      <w:r>
        <w:t xml:space="preserve">kg *</w:t>
      </w:r>
    </w:p>
    <w:p>
      <w:pPr>
        <w:numPr>
          <w:ilvl w:val="0"/>
          <w:numId w:val="1000"/>
        </w:numPr>
        <w:pStyle w:val="Compact"/>
      </w:pPr>
      <w:r>
        <w:t xml:space="preserve">kg CO2e/kg = **</w:t>
      </w:r>
    </w:p>
    <w:p>
      <w:pPr>
        <w:numPr>
          <w:ilvl w:val="0"/>
          <w:numId w:val="1000"/>
        </w:numPr>
        <w:pStyle w:val="Compact"/>
      </w:pPr>
      <w:r>
        <w:t xml:space="preserve">kg CO2e**</w:t>
      </w:r>
    </w:p>
    <w:p>
      <w:pPr>
        <w:numPr>
          <w:ilvl w:val="0"/>
          <w:numId w:val="1013"/>
        </w:numPr>
        <w:pStyle w:val="Compact"/>
      </w:pPr>
      <w:r>
        <w:t xml:space="preserve">EoL Emissions from Recycling (Benefit):</w:t>
      </w:r>
    </w:p>
    <w:p>
      <w:pPr>
        <w:numPr>
          <w:ilvl w:val="0"/>
          <w:numId w:val="1000"/>
        </w:numPr>
        <w:pStyle w:val="Compact"/>
      </w:pPr>
      <w:r>
        <w:t xml:space="preserve">kg *</w:t>
      </w:r>
    </w:p>
    <w:p>
      <w:pPr>
        <w:numPr>
          <w:ilvl w:val="0"/>
          <w:numId w:val="1000"/>
        </w:numPr>
        <w:pStyle w:val="Compact"/>
      </w:pPr>
      <w:r>
        <w:t xml:space="preserve">kg CO2e/kg = **</w:t>
      </w:r>
    </w:p>
    <w:p>
      <w:pPr>
        <w:numPr>
          <w:ilvl w:val="0"/>
          <w:numId w:val="1000"/>
        </w:numPr>
        <w:pStyle w:val="Compact"/>
      </w:pPr>
      <w:r>
        <w:t xml:space="preserve">kg CO2e**</w:t>
      </w:r>
    </w:p>
    <w:p>
      <w:pPr>
        <w:numPr>
          <w:ilvl w:val="0"/>
          <w:numId w:val="1013"/>
        </w:numPr>
        <w:pStyle w:val="Compact"/>
      </w:pPr>
      <w:r>
        <w:t xml:space="preserve">Subtotal End-of-Life (Scope 3): **</w:t>
      </w:r>
    </w:p>
    <w:p>
      <w:pPr>
        <w:numPr>
          <w:ilvl w:val="0"/>
          <w:numId w:val="1000"/>
        </w:numPr>
        <w:pStyle w:val="Compact"/>
      </w:pPr>
      <w:r>
        <w:t xml:space="preserve">kg CO2e**</w:t>
      </w:r>
    </w:p>
    <w:p>
      <w:pPr>
        <w:numPr>
          <w:ilvl w:val="0"/>
          <w:numId w:val="1013"/>
        </w:numPr>
        <w:pStyle w:val="Compact"/>
      </w:pPr>
      <w:r>
        <w:rPr>
          <w:bCs/>
          <w:b/>
        </w:rPr>
        <w:t xml:space="preserve">Circular/Take-back Programs:</w:t>
      </w:r>
      <w:r>
        <w:t xml:space="preserve"> </w:t>
      </w:r>
      <w:r>
        <w:t xml:space="preserve">intpjdwhyj\'s proactive take-back programs directly contribute to achieving the</w:t>
      </w:r>
    </w:p>
    <w:p>
      <w:pPr>
        <w:numPr>
          <w:ilvl w:val="0"/>
          <w:numId w:val="1000"/>
        </w:numPr>
        <w:pStyle w:val="Compact"/>
      </w:pPr>
      <w:r>
        <w:t xml:space="preserve">% recyclability rate, significantly mitigating end-of-life impacts by diverting material from landfill and fostering a circular economy approach.</w:t>
      </w:r>
    </w:p>
    <w:bookmarkEnd w:id="46"/>
    <w:bookmarkStart w:id="47" w:name="total-product-carbon-footprint-pcf"/>
    <w:p>
      <w:pPr>
        <w:pStyle w:val="Heading3"/>
      </w:pPr>
      <w:r>
        <w:t xml:space="preserve">4.6. Total Product Carbon Footprint (PCF)</w:t>
      </w:r>
    </w:p>
    <w:p>
      <w:pPr>
        <w:pStyle w:val="FirstParagraph"/>
      </w:pPr>
      <w:r>
        <w:t xml:space="preserve">The summary of emissions across all lifecycle stages for one functional unit of \'tdsvygvlet\'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pPr>
          </w:p>
        </w:tc>
      </w:tr>
      <w:tr>
        <w:tc>
          <w:tcPr/>
          <w:p>
            <w:pPr>
              <w:pStyle w:val="Compact"/>
              <w:jc w:val="left"/>
            </w:pPr>
            <w:r>
              <w:t xml:space="preserve">Inbound Transportation</w:t>
            </w:r>
          </w:p>
        </w:tc>
        <w:tc>
          <w:tcPr/>
          <w:p>
            <w:pPr>
              <w:pStyle w:val="Compact"/>
              <w:jc w:val="left"/>
            </w:pPr>
            <w:r>
              <w:t xml:space="preserve">Scope 3</w:t>
            </w:r>
          </w:p>
        </w:tc>
        <w:tc>
          <w:tcPr/>
          <w:p>
            <w:pPr>
              <w:pStyle w:val="Compact"/>
            </w:pPr>
          </w:p>
        </w:tc>
      </w:tr>
      <w:tr>
        <w:tc>
          <w:tcPr/>
          <w:p>
            <w:pPr>
              <w:pStyle w:val="Compact"/>
              <w:jc w:val="left"/>
            </w:pPr>
            <w:r>
              <w:t xml:space="preserve">Manufacturing (Direct Operations)</w:t>
            </w:r>
          </w:p>
        </w:tc>
        <w:tc>
          <w:tcPr/>
          <w:p>
            <w:pPr>
              <w:pStyle w:val="Compact"/>
              <w:jc w:val="left"/>
            </w:pPr>
            <w:r>
              <w:t xml:space="preserve">Scope 1</w:t>
            </w:r>
          </w:p>
        </w:tc>
        <w:tc>
          <w:tcPr/>
          <w:p>
            <w:pPr>
              <w:pStyle w:val="Compact"/>
            </w:pP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pPr>
          </w:p>
        </w:tc>
      </w:tr>
      <w:tr>
        <w:tc>
          <w:tcPr/>
          <w:p>
            <w:pPr>
              <w:pStyle w:val="Compact"/>
              <w:jc w:val="left"/>
            </w:pPr>
            <w:r>
              <w:t xml:space="preserve">Primary Outbound Transportation</w:t>
            </w:r>
          </w:p>
        </w:tc>
        <w:tc>
          <w:tcPr/>
          <w:p>
            <w:pPr>
              <w:pStyle w:val="Compact"/>
              <w:jc w:val="left"/>
            </w:pPr>
            <w:r>
              <w:t xml:space="preserve">Scope 3</w:t>
            </w:r>
          </w:p>
        </w:tc>
        <w:tc>
          <w:tcPr/>
          <w:p>
            <w:pPr>
              <w:pStyle w:val="Compact"/>
            </w:pPr>
          </w:p>
        </w:tc>
      </w:tr>
      <w:tr>
        <w:tc>
          <w:tcPr/>
          <w:p>
            <w:pPr>
              <w:pStyle w:val="Compact"/>
              <w:jc w:val="left"/>
            </w:pPr>
            <w:r>
              <w:t xml:space="preserve">Last-Mile Delivery</w:t>
            </w:r>
          </w:p>
        </w:tc>
        <w:tc>
          <w:tcPr/>
          <w:p>
            <w:pPr>
              <w:pStyle w:val="Compact"/>
              <w:jc w:val="left"/>
            </w:pPr>
            <w:r>
              <w:t xml:space="preserve">Scope 3</w:t>
            </w:r>
          </w:p>
        </w:tc>
        <w:tc>
          <w:tcPr/>
          <w:p>
            <w:pPr>
              <w:pStyle w:val="Compact"/>
            </w:pPr>
          </w:p>
        </w:tc>
      </w:tr>
      <w:tr>
        <w:tc>
          <w:tcPr/>
          <w:p>
            <w:pPr>
              <w:pStyle w:val="Compact"/>
              <w:jc w:val="left"/>
            </w:pPr>
            <w:r>
              <w:t xml:space="preserve">Use Phase</w:t>
            </w:r>
          </w:p>
        </w:tc>
        <w:tc>
          <w:tcPr/>
          <w:p>
            <w:pPr>
              <w:pStyle w:val="Compact"/>
              <w:jc w:val="left"/>
            </w:pPr>
            <w:r>
              <w:t xml:space="preserve">Scope 3</w:t>
            </w:r>
          </w:p>
        </w:tc>
        <w:tc>
          <w:tcPr/>
          <w:p>
            <w:pPr>
              <w:pStyle w:val="Compact"/>
            </w:pPr>
          </w:p>
        </w:tc>
      </w:tr>
      <w:tr>
        <w:tc>
          <w:tcPr/>
          <w:p>
            <w:pPr>
              <w:pStyle w:val="Compact"/>
              <w:jc w:val="left"/>
            </w:pPr>
            <w:r>
              <w:t xml:space="preserve">End-of-Life Treatment</w:t>
            </w:r>
          </w:p>
        </w:tc>
        <w:tc>
          <w:tcPr/>
          <w:p>
            <w:pPr>
              <w:pStyle w:val="Compact"/>
              <w:jc w:val="left"/>
            </w:pPr>
            <w:r>
              <w:t xml:space="preserve">Scope 3</w:t>
            </w:r>
          </w:p>
        </w:tc>
        <w:tc>
          <w:tcPr/>
          <w:p>
            <w:pPr>
              <w:pStyle w:val="Compact"/>
            </w:pPr>
          </w:p>
        </w:tc>
      </w:tr>
      <w:tr>
        <w:tc>
          <w:tcPr>
            <w:gridSpan w:val="2"/>
          </w:tcPr>
          <w:p>
            <w:pPr>
              <w:pStyle w:val="Compact"/>
              <w:jc w:val="right"/>
            </w:pPr>
            <w:r>
              <w:t xml:space="preserve">TOTAL PCF:</w:t>
            </w:r>
          </w:p>
        </w:tc>
        <w:tc>
          <w:tcPr/>
          <w:p>
            <w:pPr>
              <w:pStyle w:val="Compact"/>
            </w:pPr>
          </w:p>
        </w:tc>
      </w:tr>
    </w:tbl>
    <w:p>
      <w:pPr>
        <w:pStyle w:val="BodyText"/>
      </w:pPr>
      <w:r>
        <w:t xml:space="preserve">The calculated Total Product Carbon Footprint for one unit of "tdsvygvlet" is ** kg CO2e**.</w:t>
      </w:r>
    </w:p>
    <w:p>
      <w:pPr>
        <w:pStyle w:val="BodyText"/>
      </w:pPr>
      <w:r>
        <w:rPr>
          <w:bCs/>
          <w:b/>
        </w:rPr>
        <w:t xml:space="preserve">Scope 3 Coverage:</w:t>
      </w:r>
      <w:r>
        <w:t xml:space="preserve"> </w:t>
      </w:r>
      <w:r>
        <w:t xml:space="preserve">Based on the comprehensive inclusion of raw materials, upstream/downstream transport, use phase, and end-of-life emissions, the Scope 3 reporting coverage for this PCF analysis is estimated to be well over the **95% target** as per 2026 GHG Protocol requirements.</w:t>
      </w:r>
    </w:p>
    <w:p>
      <w:r>
        <w:pict>
          <v:rect style="width:0;height:1.5pt" o:hralign="center" o:hrstd="t" o:hr="t"/>
        </w:pict>
      </w:r>
    </w:p>
    <w:bookmarkEnd w:id="47"/>
    <w:bookmarkStart w:id="51" w:name="review-report"/>
    <w:p>
      <w:pPr>
        <w:pStyle w:val="Heading2"/>
      </w:pPr>
      <w:r>
        <w:t xml:space="preserve">5. Review &amp; Report</w:t>
      </w:r>
    </w:p>
    <w:bookmarkStart w:id="48" w:name="identification-of-carbon-hotspots"/>
    <w:p>
      <w:pPr>
        <w:pStyle w:val="Heading3"/>
      </w:pPr>
      <w:r>
        <w:t xml:space="preserve">5.1. Identification of Carbon Hotspots</w:t>
      </w:r>
    </w:p>
    <w:p>
      <w:pPr>
        <w:pStyle w:val="FirstParagraph"/>
      </w:pPr>
      <w:r>
        <w:t xml:space="preserve">The analysis reveals the following carbon hotspots in the lifecycle of "tdsvygvlet":</w:t>
      </w:r>
    </w:p>
    <w:p>
      <w:pPr>
        <w:numPr>
          <w:ilvl w:val="0"/>
          <w:numId w:val="1014"/>
        </w:numPr>
        <w:pStyle w:val="Compact"/>
      </w:pPr>
      <w:r>
        <w:rPr>
          <w:bCs/>
          <w:b/>
        </w:rPr>
        <w:t xml:space="preserve">Material Acquisition:</w:t>
      </w:r>
      <w:r>
        <w:t xml:space="preserve"> </w:t>
      </w:r>
      <w:r>
        <w:t xml:space="preserve">The "Electronic Board" and "Lithium-ion Battery" categories contribute significantly to the upstream emissions, reflecting the high energy and resource intensity of electronic component manufacturing.</w:t>
      </w:r>
    </w:p>
    <w:p>
      <w:pPr>
        <w:numPr>
          <w:ilvl w:val="0"/>
          <w:numId w:val="1014"/>
        </w:numPr>
        <w:pStyle w:val="Compact"/>
      </w:pPr>
      <w:r>
        <w:rPr>
          <w:bCs/>
          <w:b/>
        </w:rPr>
        <w:t xml:space="preserve">Use Phase:</w:t>
      </w:r>
      <w:r>
        <w:t xml:space="preserve"> </w:t>
      </w:r>
      <w:r>
        <w:t xml:space="preserve">The energy consumption during the product\'s 5-year lifespan is a substantial contributor, emphasizing the importance of energy-efficient design.</w:t>
      </w:r>
    </w:p>
    <w:p>
      <w:pPr>
        <w:numPr>
          <w:ilvl w:val="0"/>
          <w:numId w:val="1014"/>
        </w:numPr>
        <w:pStyle w:val="Compact"/>
      </w:pPr>
      <w:r>
        <w:rPr>
          <w:bCs/>
          <w:b/>
        </w:rPr>
        <w:t xml:space="preserve">Manufacturing (Scope 2):</w:t>
      </w:r>
      <w:r>
        <w:t xml:space="preserve"> </w:t>
      </w:r>
      <w:r>
        <w:t xml:space="preserve">While partially offset by renewable energy, the remaining grid electricity usage in China contributes to the production footprint.</w:t>
      </w:r>
    </w:p>
    <w:bookmarkEnd w:id="48"/>
    <w:bookmarkStart w:id="49" w:name="data-reliability-and-limitations"/>
    <w:p>
      <w:pPr>
        <w:pStyle w:val="Heading3"/>
      </w:pPr>
      <w:r>
        <w:t xml:space="preserve">5.2. Data Reliability and Limitations</w:t>
      </w:r>
    </w:p>
    <w:p>
      <w:pPr>
        <w:pStyle w:val="FirstParagraph"/>
      </w:pPr>
      <w:r>
        <w:t xml:space="preserve">The calculations rely on a combination of primary data (provided parameters) and secondary, industry-average emission factors (e.g., from Climatiq for transport and materials where specific BOM factors were not provided beyond the table). While efforts were made to use the most relevant and up-to-date factors, inherent uncertainties exist, particularly with generic EFs and assumptions made for average user behavior in the use phase. The geographic scope for emission factors (China for manufacturing electricity, Europe-focused for supply chain, and global average for use phase electricity) has been considered. The 2026 LSR Standard is incorporated conceptually, acknowledging that detailed land-use change data specific to each raw material\'s origin would further refine its application.</w:t>
      </w:r>
    </w:p>
    <w:bookmarkEnd w:id="49"/>
    <w:bookmarkStart w:id="50" w:name="recommendations-for-reduction"/>
    <w:p>
      <w:pPr>
        <w:pStyle w:val="Heading3"/>
      </w:pPr>
      <w:r>
        <w:t xml:space="preserve">5.3. Recommendations for Reduction</w:t>
      </w:r>
    </w:p>
    <w:p>
      <w:pPr>
        <w:pStyle w:val="FirstParagraph"/>
      </w:pPr>
      <w:r>
        <w:t xml:space="preserve">Based on this PCF analysis, "intpjdwhyj" should consider the following strategies to reduce the carbon footprint of "tdsvygvlet":</w:t>
      </w:r>
    </w:p>
    <w:p>
      <w:pPr>
        <w:numPr>
          <w:ilvl w:val="0"/>
          <w:numId w:val="1015"/>
        </w:numPr>
        <w:pStyle w:val="Compact"/>
      </w:pPr>
      <w:r>
        <w:rPr>
          <w:bCs/>
          <w:b/>
        </w:rPr>
        <w:t xml:space="preserve">Material Optimization:</w:t>
      </w:r>
      <w:r>
        <w:t xml:space="preserve"> </w:t>
      </w:r>
      <w:r>
        <w:t xml:space="preserve">Explore alternative materials with lower embodied carbon for high-impact components like electronic boards and batteries, or engage with suppliers to obtain product-specific, lower-carbon production data.</w:t>
      </w:r>
    </w:p>
    <w:p>
      <w:pPr>
        <w:numPr>
          <w:ilvl w:val="0"/>
          <w:numId w:val="1015"/>
        </w:numPr>
        <w:pStyle w:val="Compact"/>
      </w:pPr>
      <w:r>
        <w:rPr>
          <w:bCs/>
          <w:b/>
        </w:rPr>
        <w:t xml:space="preserve">Energy Efficiency in Use:</w:t>
      </w:r>
      <w:r>
        <w:t xml:space="preserve"> </w:t>
      </w:r>
      <w:r>
        <w:t xml:space="preserve">Invest in R&amp;D to enhance the energy efficiency of "tdsvygvlet" during its operational life, directly reducing the largest hotspot.</w:t>
      </w:r>
    </w:p>
    <w:p>
      <w:pPr>
        <w:numPr>
          <w:ilvl w:val="0"/>
          <w:numId w:val="1015"/>
        </w:numPr>
        <w:pStyle w:val="Compact"/>
      </w:pPr>
      <w:r>
        <w:rPr>
          <w:bCs/>
          <w:b/>
        </w:rPr>
        <w:t xml:space="preserve">Renewable Energy Transition:</w:t>
      </w:r>
      <w:r>
        <w:t xml:space="preserve"> </w:t>
      </w:r>
      <w:r>
        <w:t xml:space="preserve">Continue to increase the share of renewable energy sourcing beyond the current 60% for manufacturing operations in China, or explore offsetting mechanisms for remaining grid electricity.</w:t>
      </w:r>
    </w:p>
    <w:p>
      <w:pPr>
        <w:numPr>
          <w:ilvl w:val="0"/>
          <w:numId w:val="1015"/>
        </w:numPr>
        <w:pStyle w:val="Compact"/>
      </w:pPr>
      <w:r>
        <w:rPr>
          <w:bCs/>
          <w:b/>
        </w:rPr>
        <w:t xml:space="preserve">Circular Economy Initiatives:</w:t>
      </w:r>
      <w:r>
        <w:t xml:space="preserve"> </w:t>
      </w:r>
      <w:r>
        <w:t xml:space="preserve">Expand and promote the existing circular/take-back programs ("ugtvvhkulr") to further increase product recyclability and material recovery, potentially exploring repair and refurbishment models to extend product lifespan.</w:t>
      </w:r>
    </w:p>
    <w:p>
      <w:pPr>
        <w:numPr>
          <w:ilvl w:val="0"/>
          <w:numId w:val="1015"/>
        </w:numPr>
        <w:pStyle w:val="Compact"/>
      </w:pPr>
      <w:r>
        <w:rPr>
          <w:bCs/>
          <w:b/>
        </w:rPr>
        <w:t xml:space="preserve">Supply Chain Engagement:</w:t>
      </w:r>
      <w:r>
        <w:t xml:space="preserve"> </w:t>
      </w:r>
      <w:r>
        <w:t xml:space="preserve">Work with upstream suppliers to identify opportunities for emissions reduction in raw material extraction and processing, and optimize transportation routes and modes for inbound logistics.</w:t>
      </w:r>
    </w:p>
    <w:bookmarkEnd w:id="50"/>
    <w:bookmarkEnd w:id="51"/>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tdsvygvlet</dc:title>
  <dc:creator/>
  <dc:description>High-detail Product Carbon Footprint (PCF) analysis report for tdsvygvlet, performed by Senior Sustainability Consultant westffxmko for intpjdwhyj, adhering to GHG Protocol including 2026 LSR Standard.</dc:description>
  <dc:language>en</dc:language>
  <cp:keywords/>
  <dcterms:created xsi:type="dcterms:W3CDTF">2026-05-30T16:48:56Z</dcterms:created>
  <dcterms:modified xsi:type="dcterms:W3CDTF">2026-05-30T16:48:56Z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