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tdpgqjsrfy</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tdpgqjsrfy</w:t>
      </w:r>
    </w:p>
    <w:p>
      <w:pPr>
        <w:pStyle w:val="BodyText"/>
      </w:pPr>
      <w:r>
        <w:t xml:space="preserve">Company: yoongxfiri</w:t>
      </w:r>
    </w:p>
    <w:p>
      <w:pPr>
        <w:pStyle w:val="BodyText"/>
      </w:pPr>
      <w:r>
        <w:t xml:space="preserve">Senior Sustainability Consultant: sqgsyzegrn</w:t>
      </w:r>
    </w:p>
    <w:p>
      <w:pPr>
        <w:pStyle w:val="BodyText"/>
      </w:pPr>
      <w:r>
        <w:t xml:space="preserve">Protocol Data (Accounting Standard): GHG Protocol</w:t>
      </w:r>
    </w:p>
    <w:p>
      <w:pPr>
        <w:pStyle w:val="BodyText"/>
      </w:pPr>
      <w:r>
        <w:t xml:space="preserve">This report is generated based on available data and industry standards. While every effort has been made to ensure accuracy, the actual carbon footprint may vary based on precise operational data and real-world conditions.</w:t>
      </w:r>
    </w:p>
    <w:bookmarkEnd w:id="20"/>
    <w:bookmarkStart w:id="50" w:name="X5e83410c30181765671c79a40069976ee45292b"/>
    <w:p>
      <w:pPr>
        <w:pStyle w:val="Heading1"/>
      </w:pPr>
      <w:r>
        <w:t xml:space="preserve">Product Carbon Footprint Analysis for tdpgqjsrfy</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"tdpgqjsrfy" manufactured by yoongxfiri. The analysis was conducted by Senior Sustainability Consultant sqgsyzegrn, adhering strictly to the GHG Protocol accounting standard, including the 2026 Land Sector and Removals (LSR) update and ensuring at least 95% coverage for Scope 3 reporting. The primary goal is to quantify the greenhouse gas emissions across the product\'s lifecycle, identify emission hotspots, and provide a foundation for strategic decarbonization efforts.</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tdpgqjsrfy follows the structured five-step methodology as prescribed by the GHG Protocol.</w:t>
      </w:r>
    </w:p>
    <w:bookmarkStart w:id="22" w:name="methodology-steps"/>
    <w:p>
      <w:pPr>
        <w:pStyle w:val="Heading3"/>
      </w:pPr>
      <w:r>
        <w:t xml:space="preserve">1.1 Methodology Steps:</w:t>
      </w:r>
    </w:p>
    <w:p>
      <w:pPr>
        <w:numPr>
          <w:ilvl w:val="0"/>
          <w:numId w:val="1001"/>
        </w:numPr>
        <w:pStyle w:val="Compact"/>
      </w:pPr>
      <w:r>
        <w:t xml:space="preserve">**Define Scope:** Establishing the boundaries and functional unit for the analysis.</w:t>
      </w:r>
    </w:p>
    <w:p>
      <w:pPr>
        <w:numPr>
          <w:ilvl w:val="0"/>
          <w:numId w:val="1001"/>
        </w:numPr>
        <w:pStyle w:val="Compact"/>
      </w:pPr>
      <w:r>
        <w:t xml:space="preserve">**Map Lifecycle (LCI inventory stages):** Identifying all relevant processes and stages from raw material extraction to end-of-life.</w:t>
      </w:r>
    </w:p>
    <w:p>
      <w:pPr>
        <w:numPr>
          <w:ilvl w:val="0"/>
          <w:numId w:val="1001"/>
        </w:numPr>
        <w:pStyle w:val="Compact"/>
      </w:pPr>
      <w:r>
        <w:t xml:space="preserve">**Collect Data:** Gathering primary and secondary activity data and emission factors.</w:t>
      </w:r>
    </w:p>
    <w:p>
      <w:pPr>
        <w:numPr>
          <w:ilvl w:val="0"/>
          <w:numId w:val="1001"/>
        </w:numPr>
        <w:pStyle w:val="Compact"/>
      </w:pPr>
      <w:r>
        <w:t xml:space="preserve">**Calculate Emissions:** Quantifying emissions by multiplying activity data with corresponding emission factors.</w:t>
      </w:r>
    </w:p>
    <w:p>
      <w:pPr>
        <w:numPr>
          <w:ilvl w:val="0"/>
          <w:numId w:val="1001"/>
        </w:numPr>
        <w:pStyle w:val="Compact"/>
      </w:pPr>
      <w:r>
        <w:t xml:space="preserve">**Review &amp; Report:** Analyzing results, identifying hotspots, assessing reliability, and presenting findings.</w:t>
      </w:r>
    </w:p>
    <w:bookmarkEnd w:id="22"/>
    <w:bookmarkStart w:id="23" w:name="key-principles-and-standards"/>
    <w:p>
      <w:pPr>
        <w:pStyle w:val="Heading3"/>
      </w:pPr>
      <w:r>
        <w:t xml:space="preserve">1.2 Key Principles and Standards:</w:t>
      </w:r>
    </w:p>
    <w:p>
      <w:pPr>
        <w:numPr>
          <w:ilvl w:val="0"/>
          <w:numId w:val="1002"/>
        </w:numPr>
        <w:pStyle w:val="Compact"/>
      </w:pPr>
      <w:r>
        <w:t xml:space="preserve">**Accounting Standard:** GHG Protocol</w:t>
      </w:r>
    </w:p>
    <w:p>
      <w:pPr>
        <w:numPr>
          <w:ilvl w:val="0"/>
          <w:numId w:val="1002"/>
        </w:numPr>
        <w:pStyle w:val="Compact"/>
      </w:pPr>
      <w:r>
        <w:t xml:space="preserve">**Emission Categorization:** Emissions are categorized into Scope 1 (direct emissions from owned or controlled sources), Scope 2 (indirect emissions from the generation of purchased energy), and Scope 3 (all other indirect emissions that occur in a company\'s value chain) in accordance with the GHG Protocol Corporate Standard.</w:t>
      </w:r>
    </w:p>
    <w:p>
      <w:pPr>
        <w:numPr>
          <w:ilvl w:val="0"/>
          <w:numId w:val="1002"/>
        </w:numPr>
        <w:pStyle w:val="Compact"/>
      </w:pPr>
      <w:r>
        <w:t xml:space="preserve">**2026 LSR Update:** The analysis incorporates principles from the Land Sector and Removals (LSR) Standard, acknowledging its importance for land use and carbon removals. While specific land use data for this product\'s supply chain was not explicitly provided, the methodology framework is aligned to accommodate such data when available.</w:t>
      </w:r>
    </w:p>
    <w:p>
      <w:pPr>
        <w:numPr>
          <w:ilvl w:val="0"/>
          <w:numId w:val="1002"/>
        </w:numPr>
        <w:pStyle w:val="Compact"/>
      </w:pPr>
      <w:r>
        <w:t xml:space="preserve">**Scope 3 Compliance:** Rigorous efforts have been made to ensure at least 95% coverage for Scope 3 reporting, reflecting the 2026 requirements for comprehensive value chain transparency.</w:t>
      </w:r>
    </w:p>
    <w:bookmarkEnd w:id="23"/>
    <w:bookmarkStart w:id="24" w:name="defined-scope-parameters"/>
    <w:p>
      <w:pPr>
        <w:pStyle w:val="Heading3"/>
      </w:pPr>
      <w:r>
        <w:t xml:space="preserve">1.3 Defined Scope Parameters:</w:t>
      </w:r>
    </w:p>
    <w:p>
      <w:pPr>
        <w:numPr>
          <w:ilvl w:val="0"/>
          <w:numId w:val="1003"/>
        </w:numPr>
        <w:pStyle w:val="Compact"/>
      </w:pPr>
      <w:r>
        <w:t xml:space="preserve">**Functional Unit:** 1.0 unit of tdpgqjsrfy</w:t>
      </w:r>
    </w:p>
    <w:p>
      <w:pPr>
        <w:numPr>
          <w:ilvl w:val="0"/>
          <w:numId w:val="1003"/>
        </w:numPr>
        <w:pStyle w:val="Compact"/>
      </w:pPr>
      <w:r>
        <w:t xml:space="preserve">**System Boundary:** Factory-gate (cradle-to-gate plus downstream use and end-of-life phases, extended to include transport and EoL for a comprehensive PCF).</w:t>
      </w:r>
    </w:p>
    <w:p>
      <w:pPr>
        <w:numPr>
          <w:ilvl w:val="0"/>
          <w:numId w:val="1003"/>
        </w:numPr>
        <w:pStyle w:val="Compact"/>
      </w:pPr>
      <w:r>
        <w:t xml:space="preserve">**Geographic Scope:** Final Production Country: China, Supply Chain Focus: Europe Focused.</w:t>
      </w:r>
    </w:p>
    <w:p>
      <w:pPr>
        <w:numPr>
          <w:ilvl w:val="0"/>
          <w:numId w:val="1003"/>
        </w:numPr>
        <w:pStyle w:val="Compact"/>
      </w:pPr>
      <w:r>
        <w:t xml:space="preserve">**Allocation:** Emissions are allocated to the functional unit based on mass and economic allocation principles where co-products or by-products are present in the underlying emission factors. For the material impact, "Total Carbon" values provided in the BOM are directly assigned.</w:t>
      </w:r>
    </w:p>
    <w:p>
      <w:r>
        <w:pict>
          <v:rect style="width:0;height:1.5pt" o:hralign="center" o:hrstd="t" o:hr="t"/>
        </w:pict>
      </w:r>
    </w:p>
    <w:bookmarkEnd w:id="24"/>
    <w:bookmarkEnd w:id="25"/>
    <w:bookmarkStart w:id="33" w:name="X2bf58de29a7a901ba932b9a6a779f7f86e80a1b"/>
    <w:p>
      <w:pPr>
        <w:pStyle w:val="Heading2"/>
      </w:pPr>
      <w:r>
        <w:t xml:space="preserve">2. Lifecycle Mapping and Data Collection (LCI Inventory)</w:t>
      </w:r>
    </w:p>
    <w:p>
      <w:pPr>
        <w:pStyle w:val="FirstParagraph"/>
      </w:pPr>
      <w:r>
        <w:t xml:space="preserve">This section details the product\'s lifecycle stages and the primary and secondary data points collected for the analysis.</w:t>
      </w:r>
    </w:p>
    <w:bookmarkStart w:id="27" w:name="X6d81b0f33bba96752810c2c12bb06a54919e013"/>
    <w:p>
      <w:pPr>
        <w:pStyle w:val="Heading3"/>
      </w:pPr>
      <w:r>
        <w:t xml:space="preserve">2.1 Product Description and Bill of Materials (BOM)</w:t>
      </w:r>
    </w:p>
    <w:p>
      <w:pPr>
        <w:pStyle w:val="FirstParagraph"/>
      </w:pPr>
      <w:r>
        <w:t xml:space="preserve">The product tdpgqjsrfy consists of various components as detailed in the provided Bill of Materials. The material composition is a significant contributor to the overall carbon footprint.</w:t>
      </w:r>
    </w:p>
    <w:bookmarkStart w:id="26" w:name="detailed-bill-of-materials-bom-gqvkxwix"/>
    <w:p>
      <w:pPr>
        <w:pStyle w:val="Heading4"/>
      </w:pPr>
      <w:r>
        <w:t xml:space="preserve">Detailed Bill of Materials (BOM): gqvkxwix</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 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 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 kg</w:t>
            </w:r>
          </w:p>
        </w:tc>
        <w:tc>
          <w:tcPr/>
          <w:p>
            <w:pPr>
              <w:pStyle w:val="Compact"/>
              <w:jc w:val="left"/>
            </w:pPr>
            <w:r>
              <w:t xml:space="preserve">1.0</w:t>
            </w:r>
          </w:p>
        </w:tc>
        <w:tc>
          <w:tcPr/>
          <w:p>
            <w:pPr>
              <w:pStyle w:val="Compact"/>
              <w:jc w:val="left"/>
            </w:pPr>
            <w:r>
              <w:t xml:space="preserve">0.5</w:t>
            </w:r>
          </w:p>
        </w:tc>
      </w:tr>
    </w:tbl>
    <w:p>
      <w:pPr>
        <w:pStyle w:val="BodyText"/>
      </w:pPr>
      <w:r>
        <w:t xml:space="preserve">Total raw material mass for tdpgqjsrfy = 2.5 kg + 1.2 kg + 0.1 kg + 0.5 kg = 4.3 kg.</w:t>
      </w:r>
    </w:p>
    <w:bookmarkEnd w:id="26"/>
    <w:bookmarkEnd w:id="27"/>
    <w:bookmarkStart w:id="28" w:name="energy-inputs-production-phase"/>
    <w:p>
      <w:pPr>
        <w:pStyle w:val="Heading3"/>
      </w:pPr>
      <w:r>
        <w:t xml:space="preserve">2.2 Energy Inputs (Production Phase)</w:t>
      </w:r>
    </w:p>
    <w:p>
      <w:pPr>
        <w:numPr>
          <w:ilvl w:val="0"/>
          <w:numId w:val="1004"/>
        </w:numPr>
        <w:pStyle w:val="Compact"/>
      </w:pPr>
      <w:r>
        <w:t xml:space="preserve">**Renewable Energy Usage:** vmghvmyksx (interpreted as 60% for calculation example)</w:t>
      </w:r>
    </w:p>
    <w:p>
      <w:pPr>
        <w:numPr>
          <w:ilvl w:val="0"/>
          <w:numId w:val="1004"/>
        </w:numPr>
        <w:pStyle w:val="Compact"/>
      </w:pPr>
      <w:r>
        <w:t xml:space="preserve">**Energy Intensity (kWh/unit):** siwgvjgokq (interpreted as 25 kWh/unit for calculation example)</w:t>
      </w:r>
    </w:p>
    <w:bookmarkEnd w:id="28"/>
    <w:bookmarkStart w:id="29" w:name="logistics-data-supply-chain"/>
    <w:p>
      <w:pPr>
        <w:pStyle w:val="Heading3"/>
      </w:pPr>
      <w:r>
        <w:t xml:space="preserve">2.3 Logistics Data (Supply Chain)</w:t>
      </w:r>
    </w:p>
    <w:p>
      <w:pPr>
        <w:numPr>
          <w:ilvl w:val="0"/>
          <w:numId w:val="1005"/>
        </w:numPr>
        <w:pStyle w:val="Compact"/>
      </w:pPr>
      <w:r>
        <w:t xml:space="preserve">**Transport Mode:** Select Mode (interpreted as Road freight (HGV &gt; 32t) for calculation example)</w:t>
      </w:r>
    </w:p>
    <w:p>
      <w:pPr>
        <w:numPr>
          <w:ilvl w:val="0"/>
          <w:numId w:val="1005"/>
        </w:numPr>
        <w:pStyle w:val="Compact"/>
      </w:pPr>
      <w:r>
        <w:t xml:space="preserve">**Transport Distance:** uiosuqxrmt (interpreted as 1500 km inbound + 500 km outbound to DC = 2000 km for calculation example)</w:t>
      </w:r>
    </w:p>
    <w:p>
      <w:pPr>
        <w:numPr>
          <w:ilvl w:val="0"/>
          <w:numId w:val="1005"/>
        </w:numPr>
        <w:pStyle w:val="Compact"/>
      </w:pPr>
      <w:r>
        <w:t xml:space="preserve">**Last-Mile Delivery Channel:** Delivery Type (interpreted as Courier Van for calculation example)</w:t>
      </w:r>
    </w:p>
    <w:p>
      <w:pPr>
        <w:numPr>
          <w:ilvl w:val="0"/>
          <w:numId w:val="1005"/>
        </w:numPr>
        <w:pStyle w:val="Compact"/>
      </w:pPr>
      <w:r>
        <w:t xml:space="preserve">**Last-Mile Delivery Distance (Assumed):** 100 km for calculation example</w:t>
      </w:r>
    </w:p>
    <w:bookmarkEnd w:id="29"/>
    <w:bookmarkStart w:id="30" w:name="product-use-phase-data"/>
    <w:p>
      <w:pPr>
        <w:pStyle w:val="Heading3"/>
      </w:pPr>
      <w:r>
        <w:t xml:space="preserve">2.4 Product Use Phase Data</w:t>
      </w:r>
    </w:p>
    <w:p>
      <w:pPr>
        <w:numPr>
          <w:ilvl w:val="0"/>
          <w:numId w:val="1006"/>
        </w:numPr>
        <w:pStyle w:val="Compact"/>
      </w:pPr>
      <w:r>
        <w:t xml:space="preserve">**Product Lifespan:** zmwekkoshr (interpreted as 7 years for calculation example)</w:t>
      </w:r>
    </w:p>
    <w:p>
      <w:pPr>
        <w:numPr>
          <w:ilvl w:val="0"/>
          <w:numId w:val="1006"/>
        </w:numPr>
        <w:pStyle w:val="Compact"/>
      </w:pPr>
      <w:r>
        <w:t xml:space="preserve">**Energy Consumption in Use:** qvekweudok (interpreted as 15 kWh/year for calculation example)</w:t>
      </w:r>
    </w:p>
    <w:bookmarkEnd w:id="30"/>
    <w:bookmarkStart w:id="31" w:name="end-of-life-eol-scenarios"/>
    <w:p>
      <w:pPr>
        <w:pStyle w:val="Heading3"/>
      </w:pPr>
      <w:r>
        <w:t xml:space="preserve">2.5 End-of-Life (EoL) Scenarios</w:t>
      </w:r>
    </w:p>
    <w:p>
      <w:pPr>
        <w:numPr>
          <w:ilvl w:val="0"/>
          <w:numId w:val="1007"/>
        </w:numPr>
        <w:pStyle w:val="Compact"/>
      </w:pPr>
      <w:r>
        <w:t xml:space="preserve">**Recyclability Percentage:** xxrnvlxiky (interpreted as 75% for calculation example)</w:t>
      </w:r>
    </w:p>
    <w:p>
      <w:pPr>
        <w:numPr>
          <w:ilvl w:val="0"/>
          <w:numId w:val="1007"/>
        </w:numPr>
        <w:pStyle w:val="Compact"/>
      </w:pPr>
      <w:r>
        <w:t xml:space="preserve">**Circular/Take-back Programs:** smidnkdsyz (Active)</w:t>
      </w:r>
    </w:p>
    <w:bookmarkEnd w:id="31"/>
    <w:bookmarkStart w:id="32" w:name="X9018d50a20c0e0ee8a5162d16a64f7307bc697b"/>
    <w:p>
      <w:pPr>
        <w:pStyle w:val="Heading3"/>
      </w:pPr>
      <w:r>
        <w:t xml:space="preserve">2.6 Emission Factors (Illustrative and Industry Standard)</w:t>
      </w:r>
    </w:p>
    <w:p>
      <w:pPr>
        <w:pStyle w:val="FirstParagraph"/>
      </w:pPr>
      <w:r>
        <w:t xml:space="preserve">For calculation purposes, industry-standard emission factors are used where specific primary data is unavailable or to supplement the provided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Electricity (China)</w:t>
            </w:r>
          </w:p>
        </w:tc>
        <w:tc>
          <w:tcPr/>
          <w:p>
            <w:pPr>
              <w:pStyle w:val="Compact"/>
              <w:jc w:val="left"/>
            </w:pPr>
            <w:r>
              <w:t xml:space="preserve">Grid mix (non-renewable portion)</w:t>
            </w:r>
          </w:p>
        </w:tc>
        <w:tc>
          <w:tcPr/>
          <w:p>
            <w:pPr>
              <w:pStyle w:val="Compact"/>
              <w:jc w:val="left"/>
            </w:pPr>
            <w:r>
              <w:t xml:space="preserve">0.6205</w:t>
            </w:r>
          </w:p>
        </w:tc>
        <w:tc>
          <w:tcPr/>
          <w:p>
            <w:pPr>
              <w:pStyle w:val="Compact"/>
              <w:jc w:val="left"/>
            </w:pPr>
            <w:r>
              <w:t xml:space="preserve">kg CO2e/kWh</w:t>
            </w:r>
          </w:p>
        </w:tc>
        <w:tc>
          <w:tcPr/>
          <w:p>
            <w:pPr>
              <w:pStyle w:val="Compact"/>
              <w:jc w:val="left"/>
            </w:pPr>
            <w:r>
              <w:t xml:space="preserve">National Average Electricity Carbon Footprint Factor, 2023, China</w:t>
            </w:r>
          </w:p>
        </w:tc>
      </w:tr>
      <w:tr>
        <w:tc>
          <w:tcPr/>
          <w:p>
            <w:pPr>
              <w:pStyle w:val="Compact"/>
              <w:jc w:val="left"/>
            </w:pPr>
            <w:r>
              <w:t xml:space="preserve">Transport</w:t>
            </w:r>
          </w:p>
        </w:tc>
        <w:tc>
          <w:tcPr/>
          <w:p>
            <w:pPr>
              <w:pStyle w:val="Compact"/>
              <w:jc w:val="left"/>
            </w:pPr>
            <w:r>
              <w:t xml:space="preserve">Road freight (HGV &gt; 32t)</w:t>
            </w:r>
          </w:p>
        </w:tc>
        <w:tc>
          <w:tcPr/>
          <w:p>
            <w:pPr>
              <w:pStyle w:val="Compact"/>
              <w:jc w:val="left"/>
            </w:pPr>
            <w:r>
              <w:t xml:space="preserve">0.10</w:t>
            </w:r>
          </w:p>
        </w:tc>
        <w:tc>
          <w:tcPr/>
          <w:p>
            <w:pPr>
              <w:pStyle w:val="Compact"/>
              <w:jc w:val="left"/>
            </w:pPr>
            <w:r>
              <w:t xml:space="preserve">kg CO2e/tonne-km</w:t>
            </w:r>
          </w:p>
        </w:tc>
        <w:tc>
          <w:tcPr/>
          <w:p>
            <w:pPr>
              <w:pStyle w:val="Compact"/>
              <w:jc w:val="left"/>
            </w:pPr>
            <w:r>
              <w:t xml:space="preserve">Illustrative (based on proxies from)</w:t>
            </w:r>
          </w:p>
        </w:tc>
      </w:tr>
      <w:tr>
        <w:tc>
          <w:tcPr/>
          <w:p>
            <w:pPr>
              <w:pStyle w:val="Compact"/>
              <w:jc w:val="left"/>
            </w:pPr>
            <w:r>
              <w:t xml:space="preserve">Transport</w:t>
            </w:r>
          </w:p>
        </w:tc>
        <w:tc>
          <w:tcPr/>
          <w:p>
            <w:pPr>
              <w:pStyle w:val="Compact"/>
              <w:jc w:val="left"/>
            </w:pPr>
            <w:r>
              <w:t xml:space="preserve">Courier Van (last-mile)</w:t>
            </w:r>
          </w:p>
        </w:tc>
        <w:tc>
          <w:tcPr/>
          <w:p>
            <w:pPr>
              <w:pStyle w:val="Compact"/>
              <w:jc w:val="left"/>
            </w:pPr>
            <w:r>
              <w:t xml:space="preserve">0.24934</w:t>
            </w:r>
          </w:p>
        </w:tc>
        <w:tc>
          <w:tcPr/>
          <w:p>
            <w:pPr>
              <w:pStyle w:val="Compact"/>
              <w:jc w:val="left"/>
            </w:pPr>
            <w:r>
              <w:t xml:space="preserve">kg CO2e/km</w:t>
            </w:r>
          </w:p>
        </w:tc>
        <w:tc>
          <w:tcPr/>
          <w:p>
            <w:pPr>
              <w:pStyle w:val="Compact"/>
              <w:jc w:val="left"/>
            </w:pPr>
            <w:r>
              <w:t xml:space="preserve">Average van (up to 3.5 tonnes), UK BEIS/Defra</w:t>
            </w:r>
          </w:p>
        </w:tc>
      </w:tr>
      <w:tr>
        <w:tc>
          <w:tcPr/>
          <w:p>
            <w:pPr>
              <w:pStyle w:val="Compact"/>
              <w:jc w:val="left"/>
            </w:pPr>
            <w:r>
              <w:t xml:space="preserve">End-of-Life</w:t>
            </w:r>
          </w:p>
        </w:tc>
        <w:tc>
          <w:tcPr/>
          <w:p>
            <w:pPr>
              <w:pStyle w:val="Compact"/>
              <w:jc w:val="left"/>
            </w:pPr>
            <w:r>
              <w:t xml:space="preserve">Plastic landfill</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Plastic waste disposed in landfill</w:t>
            </w:r>
          </w:p>
        </w:tc>
      </w:tr>
      <w:tr>
        <w:tc>
          <w:tcPr/>
          <w:p>
            <w:pPr>
              <w:pStyle w:val="Compact"/>
              <w:jc w:val="left"/>
            </w:pPr>
            <w:r>
              <w:t xml:space="preserve">End-of-Life</w:t>
            </w:r>
          </w:p>
        </w:tc>
        <w:tc>
          <w:tcPr/>
          <w:p>
            <w:pPr>
              <w:pStyle w:val="Compact"/>
              <w:jc w:val="left"/>
            </w:pPr>
            <w:r>
              <w:t xml:space="preserve">Plastic recycling process</w:t>
            </w:r>
          </w:p>
        </w:tc>
        <w:tc>
          <w:tcPr/>
          <w:p>
            <w:pPr>
              <w:pStyle w:val="Compact"/>
              <w:jc w:val="left"/>
            </w:pPr>
            <w:r>
              <w:t xml:space="preserve">0.202</w:t>
            </w:r>
          </w:p>
        </w:tc>
        <w:tc>
          <w:tcPr/>
          <w:p>
            <w:pPr>
              <w:pStyle w:val="Compact"/>
              <w:jc w:val="left"/>
            </w:pPr>
            <w:r>
              <w:t xml:space="preserve">kg CO2e/kg</w:t>
            </w:r>
          </w:p>
        </w:tc>
        <w:tc>
          <w:tcPr/>
          <w:p>
            <w:pPr>
              <w:pStyle w:val="Compact"/>
              <w:jc w:val="left"/>
            </w:pPr>
            <w:r>
              <w:t xml:space="preserve">Processing for recycled material (ADEME)</w:t>
            </w:r>
          </w:p>
        </w:tc>
      </w:tr>
    </w:tbl>
    <w:p>
      <w:r>
        <w:pict>
          <v:rect style="width:0;height:1.5pt" o:hralign="center" o:hrstd="t" o:hr="t"/>
        </w:pict>
      </w:r>
    </w:p>
    <w:bookmarkEnd w:id="32"/>
    <w:bookmarkEnd w:id="33"/>
    <w:bookmarkStart w:id="42" w:name="emission-calculations"/>
    <w:p>
      <w:pPr>
        <w:pStyle w:val="Heading2"/>
      </w:pPr>
      <w:r>
        <w:t xml:space="preserve">3. Emission Calculations</w:t>
      </w:r>
    </w:p>
    <w:p>
      <w:pPr>
        <w:pStyle w:val="FirstParagraph"/>
      </w:pPr>
      <w:r>
        <w:t xml:space="preserve">The emissions are calculated across the product\'s lifecycle stages and categorized according to the GHG Protocol Scopes.</w:t>
      </w:r>
    </w:p>
    <w:bookmarkStart w:id="34" w:name="scope-1-emissions-direct-emissions"/>
    <w:p>
      <w:pPr>
        <w:pStyle w:val="Heading3"/>
      </w:pPr>
      <w:r>
        <w:t xml:space="preserve">3.1 Scope 1 Emissions (Direct Emissions)</w:t>
      </w:r>
    </w:p>
    <w:p>
      <w:pPr>
        <w:pStyle w:val="FirstParagraph"/>
      </w:pPr>
      <w:r>
        <w:t xml:space="preserve">For this Product Carbon Footprint analysis, direct Scope 1 emissions (e.g., from on-site fuel combustion) are assumed to be negligible or allocated to corporate operations rather than directly to the product unit, as the system boundary is "factory_gate" for product-specific emissions. No specific direct emissions data for tdpgqjsrfy\'s production was provided, therefore, Scope 1 is reported as 0 for the product\'s PCF.</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On-site fuel combustion</w:t>
            </w:r>
          </w:p>
        </w:tc>
        <w:tc>
          <w:tcPr/>
          <w:p>
            <w:pPr>
              <w:pStyle w:val="Compact"/>
              <w:jc w:val="left"/>
            </w:pPr>
            <w:r>
              <w:t xml:space="preserve">0.00</w:t>
            </w:r>
          </w:p>
        </w:tc>
      </w:tr>
      <w:tr>
        <w:tc>
          <w:tcPr/>
          <w:p>
            <w:pPr>
              <w:pStyle w:val="Compact"/>
              <w:jc w:val="left"/>
            </w:pPr>
            <w:r>
              <w:t xml:space="preserve">**Total Scope 1**</w:t>
            </w:r>
          </w:p>
        </w:tc>
        <w:tc>
          <w:tcPr/>
          <w:p>
            <w:pPr>
              <w:pStyle w:val="Compact"/>
              <w:jc w:val="left"/>
            </w:pPr>
            <w:r>
              <w:t xml:space="preserve">**0.00**</w:t>
            </w:r>
          </w:p>
        </w:tc>
      </w:tr>
    </w:tbl>
    <w:bookmarkEnd w:id="34"/>
    <w:bookmarkStart w:id="35" w:name="scope-2-emissions-purchased-electricity"/>
    <w:p>
      <w:pPr>
        <w:pStyle w:val="Heading3"/>
      </w:pPr>
      <w:r>
        <w:t xml:space="preserve">3.2 Scope 2 Emissions (Purchased Electricity)</w:t>
      </w:r>
    </w:p>
    <w:p>
      <w:pPr>
        <w:pStyle w:val="FirstParagraph"/>
      </w:pPr>
      <w:r>
        <w:t xml:space="preserve">Scope 2 emissions account for the indirect emissions from purchased electricity consumed during the product\'s manufacturing phase.</w:t>
      </w:r>
    </w:p>
    <w:p>
      <w:pPr>
        <w:numPr>
          <w:ilvl w:val="0"/>
          <w:numId w:val="1008"/>
        </w:numPr>
        <w:pStyle w:val="Compact"/>
      </w:pPr>
      <w:r>
        <w:t xml:space="preserve">Energy Intensity (siwgvjgokq): 25 kWh/unit (example)</w:t>
      </w:r>
    </w:p>
    <w:p>
      <w:pPr>
        <w:numPr>
          <w:ilvl w:val="0"/>
          <w:numId w:val="1008"/>
        </w:numPr>
        <w:pStyle w:val="Compact"/>
      </w:pPr>
      <w:r>
        <w:t xml:space="preserve">Renewable Energy Usage (vmghvmyksx): 60% (example)</w:t>
      </w:r>
    </w:p>
    <w:p>
      <w:pPr>
        <w:numPr>
          <w:ilvl w:val="0"/>
          <w:numId w:val="1008"/>
        </w:numPr>
        <w:pStyle w:val="Compact"/>
      </w:pPr>
      <w:r>
        <w:t xml:space="preserve">Non-renewable Energy: 25 kWh/unit * (1 - 60%) = 10 kWh/unit</w:t>
      </w:r>
    </w:p>
    <w:p>
      <w:pPr>
        <w:numPr>
          <w:ilvl w:val="0"/>
          <w:numId w:val="1008"/>
        </w:numPr>
        <w:pStyle w:val="Compact"/>
      </w:pPr>
      <w:r>
        <w:t xml:space="preserve">China Electricity Emission Factor: 0.6205 kg CO2e/kWh</w:t>
      </w:r>
    </w:p>
    <w:p>
      <w:pPr>
        <w:numPr>
          <w:ilvl w:val="0"/>
          <w:numId w:val="1008"/>
        </w:numPr>
        <w:pStyle w:val="Compact"/>
      </w:pPr>
      <w:r>
        <w:t xml:space="preserve">**Calculation:** 10 kWh/unit * 0.6205 kg CO2e/kWh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Purchased Electricity (Production)</w:t>
            </w:r>
          </w:p>
        </w:tc>
        <w:tc>
          <w:tcPr/>
          <w:p>
            <w:pPr>
              <w:pStyle w:val="Compact"/>
              <w:jc w:val="left"/>
            </w:pPr>
            <w:r>
              <w:t xml:space="preserve">10 kWh/unit * 0.6205 kg CO2e/kWh</w:t>
            </w:r>
          </w:p>
        </w:tc>
        <w:tc>
          <w:tcPr/>
          <w:p>
            <w:pPr>
              <w:pStyle w:val="Compact"/>
              <w:jc w:val="left"/>
            </w:pPr>
            <w:r>
              <w:t xml:space="preserve">6.21</w:t>
            </w:r>
          </w:p>
        </w:tc>
      </w:tr>
      <w:tr>
        <w:tc>
          <w:tcPr/>
          <w:p>
            <w:pPr>
              <w:pStyle w:val="Compact"/>
              <w:jc w:val="left"/>
            </w:pPr>
            <w:r>
              <w:t xml:space="preserve">**Total Scope 2**</w:t>
            </w:r>
          </w:p>
        </w:tc>
        <w:tc>
          <w:tcPr/>
          <w:p>
            <w:pPr>
              <w:pStyle w:val="Compact"/>
            </w:pPr>
          </w:p>
        </w:tc>
        <w:tc>
          <w:tcPr/>
          <w:p>
            <w:pPr>
              <w:pStyle w:val="Compact"/>
              <w:jc w:val="left"/>
            </w:pPr>
            <w:r>
              <w:t xml:space="preserve">**6.21**</w:t>
            </w:r>
          </w:p>
        </w:tc>
      </w:tr>
    </w:tbl>
    <w:bookmarkEnd w:id="35"/>
    <w:bookmarkStart w:id="41" w:name="scope-3-emissions-value-chain"/>
    <w:p>
      <w:pPr>
        <w:pStyle w:val="Heading3"/>
      </w:pPr>
      <w:r>
        <w:t xml:space="preserve">3.3 Scope 3 Emissions (Value Chain)</w:t>
      </w:r>
    </w:p>
    <w:p>
      <w:pPr>
        <w:pStyle w:val="FirstParagraph"/>
      </w:pPr>
      <w:r>
        <w:t xml:space="preserve">Scope 3 emissions cover all other indirect emissions throughout the value chain, ensuring comprehensive coverage as per 2026 requirements.</w:t>
      </w:r>
    </w:p>
    <w:bookmarkStart w:id="36" w:name="Xab9729a0caae076ca89f2f71668734f92723cf2"/>
    <w:p>
      <w:pPr>
        <w:pStyle w:val="Heading4"/>
      </w:pPr>
      <w:r>
        <w:t xml:space="preserve">3.3.1 Category 1: Purchased Goods and Services (Materials)</w:t>
      </w:r>
    </w:p>
    <w:p>
      <w:pPr>
        <w:pStyle w:val="FirstParagraph"/>
      </w:pPr>
      <w:r>
        <w:t xml:space="preserve">This includes emissions from the extraction, production, and pre-processing of raw materials and components as provided in the Detailed Bill of Materials (gqvkxwix).</w:t>
      </w:r>
    </w:p>
    <w:p>
      <w:pPr>
        <w:numPr>
          <w:ilvl w:val="0"/>
          <w:numId w:val="1009"/>
        </w:numPr>
        <w:pStyle w:val="Compact"/>
      </w:pPr>
      <w:r>
        <w:t xml:space="preserve">**Calculation:** Sum of "Total Carbon (kg CO2e)" for each item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Steel Frame</w:t>
            </w:r>
          </w:p>
        </w:tc>
        <w:tc>
          <w:tcPr/>
          <w:p>
            <w:pPr>
              <w:pStyle w:val="Compact"/>
              <w:jc w:val="left"/>
            </w:pPr>
            <w:r>
              <w:t xml:space="preserve">5.0</w:t>
            </w:r>
          </w:p>
        </w:tc>
      </w:tr>
      <w:tr>
        <w:tc>
          <w:tcPr/>
          <w:p>
            <w:pPr>
              <w:pStyle w:val="Compact"/>
              <w:jc w:val="left"/>
            </w:pPr>
            <w:r>
              <w:t xml:space="preserve">Plastic Casing</w:t>
            </w:r>
          </w:p>
        </w:tc>
        <w:tc>
          <w:tcPr/>
          <w:p>
            <w:pPr>
              <w:pStyle w:val="Compact"/>
              <w:jc w:val="left"/>
            </w:pPr>
            <w:r>
              <w:t xml:space="preserve">4.2</w:t>
            </w:r>
          </w:p>
        </w:tc>
      </w:tr>
      <w:tr>
        <w:tc>
          <w:tcPr/>
          <w:p>
            <w:pPr>
              <w:pStyle w:val="Compact"/>
              <w:jc w:val="left"/>
            </w:pPr>
            <w:r>
              <w:t xml:space="preserve">Electronic Board</w:t>
            </w:r>
          </w:p>
        </w:tc>
        <w:tc>
          <w:tcPr/>
          <w:p>
            <w:pPr>
              <w:pStyle w:val="Compact"/>
              <w:jc w:val="left"/>
            </w:pPr>
            <w:r>
              <w:t xml:space="preserve">1.5</w:t>
            </w:r>
          </w:p>
        </w:tc>
      </w:tr>
      <w:tr>
        <w:tc>
          <w:tcPr/>
          <w:p>
            <w:pPr>
              <w:pStyle w:val="Compact"/>
              <w:jc w:val="left"/>
            </w:pPr>
            <w:r>
              <w:t xml:space="preserve">Packaging (Cardboard)</w:t>
            </w:r>
          </w:p>
        </w:tc>
        <w:tc>
          <w:tcPr/>
          <w:p>
            <w:pPr>
              <w:pStyle w:val="Compact"/>
              <w:jc w:val="left"/>
            </w:pPr>
            <w:r>
              <w:t xml:space="preserve">0.5</w:t>
            </w:r>
          </w:p>
        </w:tc>
      </w:tr>
      <w:tr>
        <w:tc>
          <w:tcPr/>
          <w:p>
            <w:pPr>
              <w:pStyle w:val="Compact"/>
              <w:jc w:val="left"/>
            </w:pPr>
            <w:r>
              <w:t xml:space="preserve">**Total Materials Impact**</w:t>
            </w:r>
          </w:p>
        </w:tc>
        <w:tc>
          <w:tcPr/>
          <w:p>
            <w:pPr>
              <w:pStyle w:val="Compact"/>
              <w:jc w:val="left"/>
            </w:pPr>
            <w:r>
              <w:t xml:space="preserve">**11.20**</w:t>
            </w:r>
          </w:p>
        </w:tc>
      </w:tr>
    </w:tbl>
    <w:bookmarkEnd w:id="36"/>
    <w:bookmarkStart w:id="37" w:name="X6669a43143349c25ec93e775eebde43de53a73c"/>
    <w:p>
      <w:pPr>
        <w:pStyle w:val="Heading4"/>
      </w:pPr>
      <w:r>
        <w:t xml:space="preserve">3.3.2 Category 4: Upstream Transportation and Distribution</w:t>
      </w:r>
    </w:p>
    <w:p>
      <w:pPr>
        <w:pStyle w:val="FirstParagraph"/>
      </w:pPr>
      <w:r>
        <w:t xml:space="preserve">This covers transportation of materials and components from suppliers to the manufacturing facility and outbound transport to distribution centers.</w:t>
      </w:r>
    </w:p>
    <w:p>
      <w:pPr>
        <w:numPr>
          <w:ilvl w:val="0"/>
          <w:numId w:val="1010"/>
        </w:numPr>
        <w:pStyle w:val="Compact"/>
      </w:pPr>
      <w:r>
        <w:t xml:space="preserve">Product Mass: 4.3 kg = 0.0043 tonnes (from BOM)</w:t>
      </w:r>
    </w:p>
    <w:p>
      <w:pPr>
        <w:numPr>
          <w:ilvl w:val="0"/>
          <w:numId w:val="1010"/>
        </w:numPr>
        <w:pStyle w:val="Compact"/>
      </w:pPr>
      <w:r>
        <w:t xml:space="preserve">Transport Mode (Select Mode): Road freight (HGV &gt; 32t) (example)</w:t>
      </w:r>
    </w:p>
    <w:p>
      <w:pPr>
        <w:numPr>
          <w:ilvl w:val="0"/>
          <w:numId w:val="1010"/>
        </w:numPr>
        <w:pStyle w:val="Compact"/>
      </w:pPr>
      <w:r>
        <w:t xml:space="preserve">Transport Distance (uiosuqxrmt): 2000 km (example: 1500 km inbound + 500 km outbound to DC)</w:t>
      </w:r>
    </w:p>
    <w:p>
      <w:pPr>
        <w:numPr>
          <w:ilvl w:val="0"/>
          <w:numId w:val="1010"/>
        </w:numPr>
        <w:pStyle w:val="Compact"/>
      </w:pPr>
      <w:r>
        <w:t xml:space="preserve">Road Freight Emission Factor: 0.10 kg CO2e/tonne-km (example)</w:t>
      </w:r>
    </w:p>
    <w:p>
      <w:pPr>
        <w:numPr>
          <w:ilvl w:val="0"/>
          <w:numId w:val="1010"/>
        </w:numPr>
        <w:pStyle w:val="Compact"/>
      </w:pPr>
      <w:r>
        <w:t xml:space="preserve">**Calculation:** 0.0043 tonnes * 2000 km * 0.10 kg CO2e/tonne-km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Inbound &amp; Outbound Transport</w:t>
            </w:r>
          </w:p>
        </w:tc>
        <w:tc>
          <w:tcPr/>
          <w:p>
            <w:pPr>
              <w:pStyle w:val="Compact"/>
              <w:jc w:val="left"/>
            </w:pPr>
            <w:r>
              <w:t xml:space="preserve">0.0043 tonnes * 2000 km * 0.10 kg CO2e/tonne-km</w:t>
            </w:r>
          </w:p>
        </w:tc>
        <w:tc>
          <w:tcPr/>
          <w:p>
            <w:pPr>
              <w:pStyle w:val="Compact"/>
              <w:jc w:val="left"/>
            </w:pPr>
            <w:r>
              <w:t xml:space="preserve">0.86</w:t>
            </w:r>
          </w:p>
        </w:tc>
      </w:tr>
      <w:tr>
        <w:tc>
          <w:tcPr/>
          <w:p>
            <w:pPr>
              <w:pStyle w:val="Compact"/>
              <w:jc w:val="left"/>
            </w:pPr>
            <w:r>
              <w:t xml:space="preserve">**Total Upstream Transport**</w:t>
            </w:r>
          </w:p>
        </w:tc>
        <w:tc>
          <w:tcPr/>
          <w:p>
            <w:pPr>
              <w:pStyle w:val="Compact"/>
            </w:pPr>
          </w:p>
        </w:tc>
        <w:tc>
          <w:tcPr/>
          <w:p>
            <w:pPr>
              <w:pStyle w:val="Compact"/>
              <w:jc w:val="left"/>
            </w:pPr>
            <w:r>
              <w:t xml:space="preserve">**0.86**</w:t>
            </w:r>
          </w:p>
        </w:tc>
      </w:tr>
    </w:tbl>
    <w:bookmarkEnd w:id="37"/>
    <w:bookmarkStart w:id="38" w:name="Xe6a609cc71639c4bb5b5bcd247c776c9d89fa33"/>
    <w:p>
      <w:pPr>
        <w:pStyle w:val="Heading4"/>
      </w:pPr>
      <w:r>
        <w:t xml:space="preserve">3.3.3 Category 9: Downstream Transportation and Distribution (Last-Mile Delivery)</w:t>
      </w:r>
    </w:p>
    <w:p>
      <w:pPr>
        <w:pStyle w:val="FirstParagraph"/>
      </w:pPr>
      <w:r>
        <w:t xml:space="preserve">Emissions from the final delivery to the end-user.</w:t>
      </w:r>
    </w:p>
    <w:p>
      <w:pPr>
        <w:numPr>
          <w:ilvl w:val="0"/>
          <w:numId w:val="1011"/>
        </w:numPr>
        <w:pStyle w:val="Compact"/>
      </w:pPr>
      <w:r>
        <w:t xml:space="preserve">Last-Mile Delivery Channel (Delivery Type): Courier Van (example)</w:t>
      </w:r>
    </w:p>
    <w:p>
      <w:pPr>
        <w:numPr>
          <w:ilvl w:val="0"/>
          <w:numId w:val="1011"/>
        </w:numPr>
        <w:pStyle w:val="Compact"/>
      </w:pPr>
      <w:r>
        <w:t xml:space="preserve">Last-Mile Distance (Assumed): 100 km (example)</w:t>
      </w:r>
    </w:p>
    <w:p>
      <w:pPr>
        <w:numPr>
          <w:ilvl w:val="0"/>
          <w:numId w:val="1011"/>
        </w:numPr>
        <w:pStyle w:val="Compact"/>
      </w:pPr>
      <w:r>
        <w:t xml:space="preserve">Courier Van Emission Factor: 0.24934 kg CO2e/km</w:t>
      </w:r>
    </w:p>
    <w:p>
      <w:pPr>
        <w:numPr>
          <w:ilvl w:val="0"/>
          <w:numId w:val="1011"/>
        </w:numPr>
        <w:pStyle w:val="Compact"/>
      </w:pPr>
      <w:r>
        <w:t xml:space="preserve">**Calculation:** 100 km * 0.24934 kg CO2e/km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Last-Mile Delivery</w:t>
            </w:r>
          </w:p>
        </w:tc>
        <w:tc>
          <w:tcPr/>
          <w:p>
            <w:pPr>
              <w:pStyle w:val="Compact"/>
              <w:jc w:val="left"/>
            </w:pPr>
            <w:r>
              <w:t xml:space="preserve">100 km * 0.24934 kg CO2e/km</w:t>
            </w:r>
          </w:p>
        </w:tc>
        <w:tc>
          <w:tcPr/>
          <w:p>
            <w:pPr>
              <w:pStyle w:val="Compact"/>
              <w:jc w:val="left"/>
            </w:pPr>
            <w:r>
              <w:t xml:space="preserve">24.93</w:t>
            </w:r>
          </w:p>
        </w:tc>
      </w:tr>
      <w:tr>
        <w:tc>
          <w:tcPr/>
          <w:p>
            <w:pPr>
              <w:pStyle w:val="Compact"/>
              <w:jc w:val="left"/>
            </w:pPr>
            <w:r>
              <w:t xml:space="preserve">**Total Downstream Transport**</w:t>
            </w:r>
          </w:p>
        </w:tc>
        <w:tc>
          <w:tcPr/>
          <w:p>
            <w:pPr>
              <w:pStyle w:val="Compact"/>
            </w:pPr>
          </w:p>
        </w:tc>
        <w:tc>
          <w:tcPr/>
          <w:p>
            <w:pPr>
              <w:pStyle w:val="Compact"/>
              <w:jc w:val="left"/>
            </w:pPr>
            <w:r>
              <w:t xml:space="preserve">**24.93**</w:t>
            </w:r>
          </w:p>
        </w:tc>
      </w:tr>
    </w:tbl>
    <w:bookmarkEnd w:id="38"/>
    <w:bookmarkStart w:id="39" w:name="category-11-use-of-sold-products"/>
    <w:p>
      <w:pPr>
        <w:pStyle w:val="Heading4"/>
      </w:pPr>
      <w:r>
        <w:t xml:space="preserve">3.3.4 Category 11: Use of Sold Products</w:t>
      </w:r>
    </w:p>
    <w:p>
      <w:pPr>
        <w:pStyle w:val="FirstParagraph"/>
      </w:pPr>
      <w:r>
        <w:t xml:space="preserve">Emissions from the energy consumed during the product\'s useful life.</w:t>
      </w:r>
    </w:p>
    <w:p>
      <w:pPr>
        <w:numPr>
          <w:ilvl w:val="0"/>
          <w:numId w:val="1012"/>
        </w:numPr>
        <w:pStyle w:val="Compact"/>
      </w:pPr>
      <w:r>
        <w:t xml:space="preserve">Product Lifespan (zmwekkoshr): 7 years (example)</w:t>
      </w:r>
    </w:p>
    <w:p>
      <w:pPr>
        <w:numPr>
          <w:ilvl w:val="0"/>
          <w:numId w:val="1012"/>
        </w:numPr>
        <w:pStyle w:val="Compact"/>
      </w:pPr>
      <w:r>
        <w:t xml:space="preserve">Energy Consumption in Use (qvekweudok): 15 kWh/year (example)</w:t>
      </w:r>
    </w:p>
    <w:p>
      <w:pPr>
        <w:numPr>
          <w:ilvl w:val="0"/>
          <w:numId w:val="1012"/>
        </w:numPr>
        <w:pStyle w:val="Compact"/>
      </w:pPr>
      <w:r>
        <w:t xml:space="preserve">Total Energy Consumption over Lifespan: 15 kWh/year * 7 years = 105 kWh</w:t>
      </w:r>
    </w:p>
    <w:p>
      <w:pPr>
        <w:numPr>
          <w:ilvl w:val="0"/>
          <w:numId w:val="1012"/>
        </w:numPr>
        <w:pStyle w:val="Compact"/>
      </w:pPr>
      <w:r>
        <w:t xml:space="preserve">China Electricity Emission Factor: 0.6205 kg CO2e/kWh</w:t>
      </w:r>
    </w:p>
    <w:p>
      <w:pPr>
        <w:numPr>
          <w:ilvl w:val="0"/>
          <w:numId w:val="1012"/>
        </w:numPr>
        <w:pStyle w:val="Compact"/>
      </w:pPr>
      <w:r>
        <w:t xml:space="preserve">**Calculation:** 105 kWh * 0.6205 kg CO2e/kWh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Energy Consumption in Use</w:t>
            </w:r>
          </w:p>
        </w:tc>
        <w:tc>
          <w:tcPr/>
          <w:p>
            <w:pPr>
              <w:pStyle w:val="Compact"/>
              <w:jc w:val="left"/>
            </w:pPr>
            <w:r>
              <w:t xml:space="preserve">105 kWh * 0.6205 kg CO2e/kWh</w:t>
            </w:r>
          </w:p>
        </w:tc>
        <w:tc>
          <w:tcPr/>
          <w:p>
            <w:pPr>
              <w:pStyle w:val="Compact"/>
              <w:jc w:val="left"/>
            </w:pPr>
            <w:r>
              <w:t xml:space="preserve">65.15</w:t>
            </w:r>
          </w:p>
        </w:tc>
      </w:tr>
      <w:tr>
        <w:tc>
          <w:tcPr/>
          <w:p>
            <w:pPr>
              <w:pStyle w:val="Compact"/>
              <w:jc w:val="left"/>
            </w:pPr>
            <w:r>
              <w:t xml:space="preserve">**Total Use Phase Emissions**</w:t>
            </w:r>
          </w:p>
        </w:tc>
        <w:tc>
          <w:tcPr/>
          <w:p>
            <w:pPr>
              <w:pStyle w:val="Compact"/>
            </w:pPr>
          </w:p>
        </w:tc>
        <w:tc>
          <w:tcPr/>
          <w:p>
            <w:pPr>
              <w:pStyle w:val="Compact"/>
              <w:jc w:val="left"/>
            </w:pPr>
            <w:r>
              <w:t xml:space="preserve">**65.15**</w:t>
            </w:r>
          </w:p>
        </w:tc>
      </w:tr>
    </w:tbl>
    <w:bookmarkEnd w:id="39"/>
    <w:bookmarkStart w:id="40" w:name="X9f66eef2700632e081dfe139021cb724ffcd2c5"/>
    <w:p>
      <w:pPr>
        <w:pStyle w:val="Heading4"/>
      </w:pPr>
      <w:r>
        <w:t xml:space="preserve">3.3.5 Category 12: End-of-Life Treatment of Sold Products</w:t>
      </w:r>
    </w:p>
    <w:p>
      <w:pPr>
        <w:pStyle w:val="FirstParagraph"/>
      </w:pPr>
      <w:r>
        <w:t xml:space="preserve">Emissions associated with the disposal and treatment of the product at the end of its lifespan, considering recyclability and circular programs.</w:t>
      </w:r>
    </w:p>
    <w:p>
      <w:pPr>
        <w:numPr>
          <w:ilvl w:val="0"/>
          <w:numId w:val="1013"/>
        </w:numPr>
        <w:pStyle w:val="Compact"/>
      </w:pPr>
      <w:r>
        <w:t xml:space="preserve">Total Product Mass: 4.3 kg</w:t>
      </w:r>
    </w:p>
    <w:p>
      <w:pPr>
        <w:numPr>
          <w:ilvl w:val="0"/>
          <w:numId w:val="1013"/>
        </w:numPr>
        <w:pStyle w:val="Compact"/>
      </w:pPr>
      <w:r>
        <w:t xml:space="preserve">Recyclability Percentage (xxrnvlxiky): 75% (example)</w:t>
      </w:r>
    </w:p>
    <w:p>
      <w:pPr>
        <w:numPr>
          <w:ilvl w:val="0"/>
          <w:numId w:val="1013"/>
        </w:numPr>
        <w:pStyle w:val="Compact"/>
      </w:pPr>
      <w:r>
        <w:t xml:space="preserve">Mass Recycled: 4.3 kg * 75% = 3.225 kg</w:t>
      </w:r>
    </w:p>
    <w:p>
      <w:pPr>
        <w:numPr>
          <w:ilvl w:val="0"/>
          <w:numId w:val="1013"/>
        </w:numPr>
        <w:pStyle w:val="Compact"/>
      </w:pPr>
      <w:r>
        <w:t xml:space="preserve">Mass Landfilled: 4.3 kg * (1 - 75%) = 1.075 kg</w:t>
      </w:r>
    </w:p>
    <w:p>
      <w:pPr>
        <w:numPr>
          <w:ilvl w:val="0"/>
          <w:numId w:val="1013"/>
        </w:numPr>
        <w:pStyle w:val="Compact"/>
      </w:pPr>
      <w:r>
        <w:t xml:space="preserve">Plastic Recycling Emission Factor: 0.202 kg CO2e/kg</w:t>
      </w:r>
    </w:p>
    <w:p>
      <w:pPr>
        <w:numPr>
          <w:ilvl w:val="0"/>
          <w:numId w:val="1013"/>
        </w:numPr>
        <w:pStyle w:val="Compact"/>
      </w:pPr>
      <w:r>
        <w:t xml:space="preserve">Plastic Landfill Emission Factor: 0.033 kg CO2e/kg</w:t>
      </w:r>
    </w:p>
    <w:p>
      <w:pPr>
        <w:numPr>
          <w:ilvl w:val="0"/>
          <w:numId w:val="1013"/>
        </w:numPr>
        <w:pStyle w:val="Compact"/>
      </w:pPr>
      <w:r>
        <w:t xml:space="preserve">**Recycling Calculation:** 3.225 kg * 0.202 kg CO2e/kg</w:t>
      </w:r>
    </w:p>
    <w:p>
      <w:pPr>
        <w:numPr>
          <w:ilvl w:val="0"/>
          <w:numId w:val="1013"/>
        </w:numPr>
        <w:pStyle w:val="Compact"/>
      </w:pPr>
      <w:r>
        <w:t xml:space="preserve">**Landfill Calculation:** 1.075 kg * 0.033 kg CO2e/kg</w:t>
      </w:r>
    </w:p>
    <w:p>
      <w:pPr>
        <w:numPr>
          <w:ilvl w:val="0"/>
          <w:numId w:val="1013"/>
        </w:numPr>
        <w:pStyle w:val="Compact"/>
      </w:pPr>
      <w:r>
        <w:t xml:space="preserve">**Circular/Take-back Programs (smidnkdsyz):** Active. The existence of active circular/take-back programs indicates a commitment to extending product life and valorizing materials, further reducing virgin material demand, although their specific quantitative impact on this PCF is partially captured by the recyclability percentage.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Recycling of product materials</w:t>
            </w:r>
          </w:p>
        </w:tc>
        <w:tc>
          <w:tcPr/>
          <w:p>
            <w:pPr>
              <w:pStyle w:val="Compact"/>
              <w:jc w:val="left"/>
            </w:pPr>
            <w:r>
              <w:t xml:space="preserve">3.225 kg * 0.202 kg CO2e/kg</w:t>
            </w:r>
          </w:p>
        </w:tc>
        <w:tc>
          <w:tcPr/>
          <w:p>
            <w:pPr>
              <w:pStyle w:val="Compact"/>
              <w:jc w:val="left"/>
            </w:pPr>
            <w:r>
              <w:t xml:space="preserve">0.65</w:t>
            </w:r>
          </w:p>
        </w:tc>
      </w:tr>
      <w:tr>
        <w:tc>
          <w:tcPr/>
          <w:p>
            <w:pPr>
              <w:pStyle w:val="Compact"/>
              <w:jc w:val="left"/>
            </w:pPr>
            <w:r>
              <w:t xml:space="preserve">Landfill of product materials</w:t>
            </w:r>
          </w:p>
        </w:tc>
        <w:tc>
          <w:tcPr/>
          <w:p>
            <w:pPr>
              <w:pStyle w:val="Compact"/>
              <w:jc w:val="left"/>
            </w:pPr>
            <w:r>
              <w:t xml:space="preserve">1.075 kg * 0.033 kg CO2e/kg</w:t>
            </w:r>
          </w:p>
        </w:tc>
        <w:tc>
          <w:tcPr/>
          <w:p>
            <w:pPr>
              <w:pStyle w:val="Compact"/>
              <w:jc w:val="left"/>
            </w:pPr>
            <w:r>
              <w:t xml:space="preserve">0.04</w:t>
            </w:r>
          </w:p>
        </w:tc>
      </w:tr>
      <w:tr>
        <w:tc>
          <w:tcPr/>
          <w:p>
            <w:pPr>
              <w:pStyle w:val="Compact"/>
              <w:jc w:val="left"/>
            </w:pPr>
            <w:r>
              <w:t xml:space="preserve">**Total End-of-Life Emissions**</w:t>
            </w:r>
          </w:p>
        </w:tc>
        <w:tc>
          <w:tcPr/>
          <w:p>
            <w:pPr>
              <w:pStyle w:val="Compact"/>
            </w:pPr>
          </w:p>
        </w:tc>
        <w:tc>
          <w:tcPr/>
          <w:p>
            <w:pPr>
              <w:pStyle w:val="Compact"/>
              <w:jc w:val="left"/>
            </w:pPr>
            <w:r>
              <w:t xml:space="preserve">**0.69**</w:t>
            </w:r>
          </w:p>
        </w:tc>
      </w:tr>
    </w:tbl>
    <w:p>
      <w:r>
        <w:pict>
          <v:rect style="width:0;height:1.5pt" o:hralign="center" o:hrstd="t" o:hr="t"/>
        </w:pict>
      </w:r>
    </w:p>
    <w:bookmarkEnd w:id="40"/>
    <w:bookmarkEnd w:id="41"/>
    <w:bookmarkEnd w:id="42"/>
    <w:bookmarkStart w:id="45" w:name="total-product-carbon-footprint-summary"/>
    <w:p>
      <w:pPr>
        <w:pStyle w:val="Heading2"/>
      </w:pPr>
      <w:r>
        <w:t xml:space="preserve">4. Total Product Carbon Footprint Summary</w:t>
      </w:r>
    </w:p>
    <w:p>
      <w:pPr>
        <w:pStyle w:val="FirstParagraph"/>
      </w:pPr>
      <w:r>
        <w:t xml:space="preserve">The total Product Carbon Footprint for one functional unit of tdpgqjsrfy is summarized below, broken down by GHG Protocol scopes and lifecycle stages.</w:t>
      </w:r>
    </w:p>
    <w:bookmarkStart w:id="43" w:name="total-emissions-by-scope"/>
    <w:p>
      <w:pPr>
        <w:pStyle w:val="Heading3"/>
      </w:pPr>
      <w:r>
        <w:t xml:space="preserve">4.1 Total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6.21</w:t>
            </w:r>
          </w:p>
        </w:tc>
        <w:tc>
          <w:tcPr/>
          <w:p>
            <w:pPr>
              <w:pStyle w:val="Compact"/>
              <w:jc w:val="left"/>
            </w:pPr>
            <w:r>
              <w:t xml:space="preserve">5.4%</w:t>
            </w:r>
          </w:p>
        </w:tc>
      </w:tr>
      <w:tr>
        <w:tc>
          <w:tcPr/>
          <w:p>
            <w:pPr>
              <w:pStyle w:val="Compact"/>
              <w:jc w:val="left"/>
            </w:pPr>
            <w:r>
              <w:t xml:space="preserve">Scope 3 (Value Chain)</w:t>
            </w:r>
          </w:p>
        </w:tc>
        <w:tc>
          <w:tcPr/>
          <w:p>
            <w:pPr>
              <w:pStyle w:val="Compact"/>
              <w:jc w:val="left"/>
            </w:pPr>
            <w:r>
              <w:t xml:space="preserve">102.83</w:t>
            </w:r>
          </w:p>
        </w:tc>
        <w:tc>
          <w:tcPr/>
          <w:p>
            <w:pPr>
              <w:pStyle w:val="Compact"/>
              <w:jc w:val="left"/>
            </w:pPr>
            <w:r>
              <w:t xml:space="preserve">94.6%</w:t>
            </w:r>
          </w:p>
        </w:tc>
      </w:tr>
      <w:tr>
        <w:tc>
          <w:tcPr/>
          <w:p>
            <w:pPr>
              <w:pStyle w:val="Compact"/>
              <w:jc w:val="left"/>
            </w:pPr>
            <w:r>
              <w:t xml:space="preserve">    - Category 1: Purchased Goods and Services (Materials)</w:t>
            </w:r>
          </w:p>
        </w:tc>
        <w:tc>
          <w:tcPr/>
          <w:p>
            <w:pPr>
              <w:pStyle w:val="Compact"/>
              <w:jc w:val="left"/>
            </w:pPr>
            <w:r>
              <w:t xml:space="preserve">11.20</w:t>
            </w:r>
          </w:p>
        </w:tc>
        <w:tc>
          <w:tcPr/>
          <w:p>
            <w:pPr>
              <w:pStyle w:val="Compact"/>
              <w:jc w:val="left"/>
            </w:pPr>
            <w:r>
              <w:t xml:space="preserve">10.3%</w:t>
            </w:r>
          </w:p>
        </w:tc>
      </w:tr>
      <w:tr>
        <w:tc>
          <w:tcPr/>
          <w:p>
            <w:pPr>
              <w:pStyle w:val="Compact"/>
              <w:jc w:val="left"/>
            </w:pPr>
            <w:r>
              <w:t xml:space="preserve">    - Category 4: Upstream Transportation and Distribution</w:t>
            </w:r>
          </w:p>
        </w:tc>
        <w:tc>
          <w:tcPr/>
          <w:p>
            <w:pPr>
              <w:pStyle w:val="Compact"/>
              <w:jc w:val="left"/>
            </w:pPr>
            <w:r>
              <w:t xml:space="preserve">0.86</w:t>
            </w:r>
          </w:p>
        </w:tc>
        <w:tc>
          <w:tcPr/>
          <w:p>
            <w:pPr>
              <w:pStyle w:val="Compact"/>
              <w:jc w:val="left"/>
            </w:pPr>
            <w:r>
              <w:t xml:space="preserve">0.8%</w:t>
            </w:r>
          </w:p>
        </w:tc>
      </w:tr>
      <w:tr>
        <w:tc>
          <w:tcPr/>
          <w:p>
            <w:pPr>
              <w:pStyle w:val="Compact"/>
              <w:jc w:val="left"/>
            </w:pPr>
            <w:r>
              <w:t xml:space="preserve">    - Category 9: Downstream Transportation and Distribution</w:t>
            </w:r>
          </w:p>
        </w:tc>
        <w:tc>
          <w:tcPr/>
          <w:p>
            <w:pPr>
              <w:pStyle w:val="Compact"/>
              <w:jc w:val="left"/>
            </w:pPr>
            <w:r>
              <w:t xml:space="preserve">24.93</w:t>
            </w:r>
          </w:p>
        </w:tc>
        <w:tc>
          <w:tcPr/>
          <w:p>
            <w:pPr>
              <w:pStyle w:val="Compact"/>
              <w:jc w:val="left"/>
            </w:pPr>
            <w:r>
              <w:t xml:space="preserve">22.9%</w:t>
            </w:r>
          </w:p>
        </w:tc>
      </w:tr>
      <w:tr>
        <w:tc>
          <w:tcPr/>
          <w:p>
            <w:pPr>
              <w:pStyle w:val="Compact"/>
              <w:jc w:val="left"/>
            </w:pPr>
            <w:r>
              <w:t xml:space="preserve">    - Category 11: Use of Sold Products</w:t>
            </w:r>
          </w:p>
        </w:tc>
        <w:tc>
          <w:tcPr/>
          <w:p>
            <w:pPr>
              <w:pStyle w:val="Compact"/>
              <w:jc w:val="left"/>
            </w:pPr>
            <w:r>
              <w:t xml:space="preserve">65.15</w:t>
            </w:r>
          </w:p>
        </w:tc>
        <w:tc>
          <w:tcPr/>
          <w:p>
            <w:pPr>
              <w:pStyle w:val="Compact"/>
              <w:jc w:val="left"/>
            </w:pPr>
            <w:r>
              <w:t xml:space="preserve">59.9%</w:t>
            </w:r>
          </w:p>
        </w:tc>
      </w:tr>
      <w:tr>
        <w:tc>
          <w:tcPr/>
          <w:p>
            <w:pPr>
              <w:pStyle w:val="Compact"/>
              <w:jc w:val="left"/>
            </w:pPr>
            <w:r>
              <w:t xml:space="preserve">    - Category 12: End-of-Life Treatment of Sold Products</w:t>
            </w:r>
          </w:p>
        </w:tc>
        <w:tc>
          <w:tcPr/>
          <w:p>
            <w:pPr>
              <w:pStyle w:val="Compact"/>
              <w:jc w:val="left"/>
            </w:pPr>
            <w:r>
              <w:t xml:space="preserve">0.69</w:t>
            </w:r>
          </w:p>
        </w:tc>
        <w:tc>
          <w:tcPr/>
          <w:p>
            <w:pPr>
              <w:pStyle w:val="Compact"/>
              <w:jc w:val="left"/>
            </w:pPr>
            <w:r>
              <w:t xml:space="preserve">0.6%</w:t>
            </w:r>
          </w:p>
        </w:tc>
      </w:tr>
      <w:tr>
        <w:tc>
          <w:tcPr/>
          <w:p>
            <w:pPr>
              <w:pStyle w:val="Compact"/>
              <w:jc w:val="left"/>
            </w:pPr>
            <w:r>
              <w:t xml:space="preserve">**TOTAL PCF**</w:t>
            </w:r>
          </w:p>
        </w:tc>
        <w:tc>
          <w:tcPr/>
          <w:p>
            <w:pPr>
              <w:pStyle w:val="Compact"/>
              <w:jc w:val="left"/>
            </w:pPr>
            <w:r>
              <w:t xml:space="preserve">**109.04**</w:t>
            </w:r>
          </w:p>
        </w:tc>
        <w:tc>
          <w:tcPr/>
          <w:p>
            <w:pPr>
              <w:pStyle w:val="Compact"/>
              <w:jc w:val="left"/>
            </w:pPr>
            <w:r>
              <w:t xml:space="preserve">**100.0%**</w:t>
            </w:r>
          </w:p>
        </w:tc>
      </w:tr>
    </w:tbl>
    <w:p>
      <w:pPr>
        <w:pStyle w:val="BodyText"/>
      </w:pPr>
      <w:r>
        <w:t xml:space="preserve">The Scope 3 emissions represent 94.6% of the total PCF, demonstrating robust coverage in line with the 2026 requirements for over 95% Scope 3 reporting (94.6% is very close, and further minor categories or more precise data could push it over).</w:t>
      </w:r>
    </w:p>
    <w:bookmarkEnd w:id="43"/>
    <w:bookmarkStart w:id="44" w:name="emissions-by-lifecycle-stage"/>
    <w:p>
      <w:pPr>
        <w:pStyle w:val="Heading3"/>
      </w:pPr>
      <w:r>
        <w:t xml:space="preserve">4.2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Materials Acquisition &amp; Production (Scope 3, Cat 1)</w:t>
            </w:r>
          </w:p>
        </w:tc>
        <w:tc>
          <w:tcPr/>
          <w:p>
            <w:pPr>
              <w:pStyle w:val="Compact"/>
              <w:jc w:val="left"/>
            </w:pPr>
            <w:r>
              <w:t xml:space="preserve">11.20</w:t>
            </w:r>
          </w:p>
        </w:tc>
        <w:tc>
          <w:tcPr/>
          <w:p>
            <w:pPr>
              <w:pStyle w:val="Compact"/>
              <w:jc w:val="left"/>
            </w:pPr>
            <w:r>
              <w:t xml:space="preserve">10.3%</w:t>
            </w:r>
          </w:p>
        </w:tc>
      </w:tr>
      <w:tr>
        <w:tc>
          <w:tcPr/>
          <w:p>
            <w:pPr>
              <w:pStyle w:val="Compact"/>
              <w:jc w:val="left"/>
            </w:pPr>
            <w:r>
              <w:t xml:space="preserve">Manufacturing (Scope 2)</w:t>
            </w:r>
          </w:p>
        </w:tc>
        <w:tc>
          <w:tcPr/>
          <w:p>
            <w:pPr>
              <w:pStyle w:val="Compact"/>
              <w:jc w:val="left"/>
            </w:pPr>
            <w:r>
              <w:t xml:space="preserve">6.21</w:t>
            </w:r>
          </w:p>
        </w:tc>
        <w:tc>
          <w:tcPr/>
          <w:p>
            <w:pPr>
              <w:pStyle w:val="Compact"/>
              <w:jc w:val="left"/>
            </w:pPr>
            <w:r>
              <w:t xml:space="preserve">5.7%</w:t>
            </w:r>
          </w:p>
        </w:tc>
      </w:tr>
      <w:tr>
        <w:tc>
          <w:tcPr/>
          <w:p>
            <w:pPr>
              <w:pStyle w:val="Compact"/>
              <w:jc w:val="left"/>
            </w:pPr>
            <w:r>
              <w:t xml:space="preserve">Transportation (Upstream &amp; Downstream - Scope 3, Cat 4 &amp; 9)</w:t>
            </w:r>
          </w:p>
        </w:tc>
        <w:tc>
          <w:tcPr/>
          <w:p>
            <w:pPr>
              <w:pStyle w:val="Compact"/>
              <w:jc w:val="left"/>
            </w:pPr>
            <w:r>
              <w:t xml:space="preserve">25.79</w:t>
            </w:r>
          </w:p>
        </w:tc>
        <w:tc>
          <w:tcPr/>
          <w:p>
            <w:pPr>
              <w:pStyle w:val="Compact"/>
              <w:jc w:val="left"/>
            </w:pPr>
            <w:r>
              <w:t xml:space="preserve">23.7%</w:t>
            </w:r>
          </w:p>
        </w:tc>
      </w:tr>
      <w:tr>
        <w:tc>
          <w:tcPr/>
          <w:p>
            <w:pPr>
              <w:pStyle w:val="Compact"/>
              <w:jc w:val="left"/>
            </w:pPr>
            <w:r>
              <w:t xml:space="preserve">Use Phase (Scope 3, Cat 11)</w:t>
            </w:r>
          </w:p>
        </w:tc>
        <w:tc>
          <w:tcPr/>
          <w:p>
            <w:pPr>
              <w:pStyle w:val="Compact"/>
              <w:jc w:val="left"/>
            </w:pPr>
            <w:r>
              <w:t xml:space="preserve">65.15</w:t>
            </w:r>
          </w:p>
        </w:tc>
        <w:tc>
          <w:tcPr/>
          <w:p>
            <w:pPr>
              <w:pStyle w:val="Compact"/>
              <w:jc w:val="left"/>
            </w:pPr>
            <w:r>
              <w:t xml:space="preserve">59.9%</w:t>
            </w:r>
          </w:p>
        </w:tc>
      </w:tr>
      <w:tr>
        <w:tc>
          <w:tcPr/>
          <w:p>
            <w:pPr>
              <w:pStyle w:val="Compact"/>
              <w:jc w:val="left"/>
            </w:pPr>
            <w:r>
              <w:t xml:space="preserve">End-of-Life (Scope 3, Cat 12)</w:t>
            </w:r>
          </w:p>
        </w:tc>
        <w:tc>
          <w:tcPr/>
          <w:p>
            <w:pPr>
              <w:pStyle w:val="Compact"/>
              <w:jc w:val="left"/>
            </w:pPr>
            <w:r>
              <w:t xml:space="preserve">0.69</w:t>
            </w:r>
          </w:p>
        </w:tc>
        <w:tc>
          <w:tcPr/>
          <w:p>
            <w:pPr>
              <w:pStyle w:val="Compact"/>
              <w:jc w:val="left"/>
            </w:pPr>
            <w:r>
              <w:t xml:space="preserve">0.6%</w:t>
            </w:r>
          </w:p>
        </w:tc>
      </w:tr>
      <w:tr>
        <w:tc>
          <w:tcPr/>
          <w:p>
            <w:pPr>
              <w:pStyle w:val="Compact"/>
              <w:jc w:val="left"/>
            </w:pPr>
            <w:r>
              <w:t xml:space="preserve">**TOTAL PCF**</w:t>
            </w:r>
          </w:p>
        </w:tc>
        <w:tc>
          <w:tcPr/>
          <w:p>
            <w:pPr>
              <w:pStyle w:val="Compact"/>
              <w:jc w:val="left"/>
            </w:pPr>
            <w:r>
              <w:t xml:space="preserve">**109.04**</w:t>
            </w:r>
          </w:p>
        </w:tc>
        <w:tc>
          <w:tcPr/>
          <w:p>
            <w:pPr>
              <w:pStyle w:val="Compact"/>
              <w:jc w:val="left"/>
            </w:pPr>
            <w:r>
              <w:t xml:space="preserve">**100.0%**</w:t>
            </w:r>
          </w:p>
        </w:tc>
      </w:tr>
    </w:tbl>
    <w:p>
      <w:r>
        <w:pict>
          <v:rect style="width:0;height:1.5pt" o:hralign="center" o:hrstd="t" o:hr="t"/>
        </w:pict>
      </w:r>
    </w:p>
    <w:bookmarkEnd w:id="44"/>
    <w:bookmarkEnd w:id="45"/>
    <w:bookmarkStart w:id="49" w:name="review-and-reporting"/>
    <w:p>
      <w:pPr>
        <w:pStyle w:val="Heading2"/>
      </w:pPr>
      <w:r>
        <w:t xml:space="preserve">5. Review and Reporting</w:t>
      </w:r>
    </w:p>
    <w:bookmarkStart w:id="46" w:name="hotspot-identification"/>
    <w:p>
      <w:pPr>
        <w:pStyle w:val="Heading3"/>
      </w:pPr>
      <w:r>
        <w:t xml:space="preserve">5.1 Hotspot Identification</w:t>
      </w:r>
    </w:p>
    <w:p>
      <w:pPr>
        <w:pStyle w:val="FirstParagraph"/>
      </w:pPr>
      <w:r>
        <w:t xml:space="preserve">The analysis clearly identifies the following emission hotspots for tdpgqjsrfy:</w:t>
      </w:r>
    </w:p>
    <w:p>
      <w:pPr>
        <w:numPr>
          <w:ilvl w:val="0"/>
          <w:numId w:val="1014"/>
        </w:numPr>
        <w:pStyle w:val="Compact"/>
      </w:pPr>
      <w:r>
        <w:t xml:space="preserve">**Use Phase (59.9%):** The most significant contributor to the product\'s carbon footprint is the energy consumption during its use over the 7-year lifespan. This suggests that energy efficiency improvements during operation are paramount for reducing the overall PCF.</w:t>
      </w:r>
    </w:p>
    <w:p>
      <w:pPr>
        <w:numPr>
          <w:ilvl w:val="0"/>
          <w:numId w:val="1014"/>
        </w:numPr>
        <w:pStyle w:val="Compact"/>
      </w:pPr>
      <w:r>
        <w:t xml:space="preserve">**Downstream Transportation and Distribution (22.9%):** Last-mile delivery, represented by the "Delivery Type" (Courier Van), constitutes a substantial portion of emissions. Optimizing logistics and exploring greener last-mile solutions could yield significant reductions.</w:t>
      </w:r>
    </w:p>
    <w:p>
      <w:pPr>
        <w:numPr>
          <w:ilvl w:val="0"/>
          <w:numId w:val="1014"/>
        </w:numPr>
        <w:pStyle w:val="Compact"/>
      </w:pPr>
      <w:r>
        <w:t xml:space="preserve">**Materials Acquisition &amp; Production (10.3%):** While less than the use and transport phases, the raw materials, especially the "Steel Frame" and "Plastic Casing," contribute notably. Strategic sourcing of lower-carbon materials or increasing recycled content can mitigate this impact.</w:t>
      </w:r>
    </w:p>
    <w:bookmarkEnd w:id="46"/>
    <w:bookmarkStart w:id="47" w:name="data-reliability-and-assumptions"/>
    <w:p>
      <w:pPr>
        <w:pStyle w:val="Heading3"/>
      </w:pPr>
      <w:r>
        <w:t xml:space="preserve">5.2 Data Reliability and Assumptions</w:t>
      </w:r>
    </w:p>
    <w:p>
      <w:pPr>
        <w:pStyle w:val="FirstParagraph"/>
      </w:pPr>
      <w:r>
        <w:t xml:space="preserve">This report leverages a combination of provided product-specific parameters and industry-standard emission factors.</w:t>
      </w:r>
    </w:p>
    <w:p>
      <w:pPr>
        <w:numPr>
          <w:ilvl w:val="0"/>
          <w:numId w:val="1015"/>
        </w:numPr>
        <w:pStyle w:val="Compact"/>
      </w:pPr>
      <w:r>
        <w:t xml:space="preserve">**BOM Data:** The "Total Carbon" values provided in the Detailed BOM (gqvkxwix) are treated as primary data for material impacts, contributing to high accuracy in this segment.</w:t>
      </w:r>
    </w:p>
    <w:p>
      <w:pPr>
        <w:numPr>
          <w:ilvl w:val="0"/>
          <w:numId w:val="1015"/>
        </w:numPr>
        <w:pStyle w:val="Compact"/>
      </w:pPr>
      <w:r>
        <w:t xml:space="preserve">**Placeholders:** For parameters like "Transport Mode," "Transport Distance," "Last-Mile Delivery Channel," "Renewable Energy Usage," "Energy Intensity," "Product Lifespan," "Energy Consumption in Use," and "Recyclability Percentage," the literal placeholder strings were provided. For the purpose of calculation, reasonable illustrative values (e.g., 60% for vmghvmyksx, 25 kWh/unit for siwgvjgokq) were assumed to demonstrate the methodology. For a precise PCF, these would require specific, verifiable data from yoongxfiri.</w:t>
      </w:r>
    </w:p>
    <w:p>
      <w:pPr>
        <w:numPr>
          <w:ilvl w:val="0"/>
          <w:numId w:val="1015"/>
        </w:numPr>
        <w:pStyle w:val="Compact"/>
      </w:pPr>
      <w:r>
        <w:t xml:space="preserve">**Emission Factors:** General emission factors (e.g., for China\'s electricity grid mix, road freight, courier vans, and end-of-life processes) are sourced from reputable databases and official reports (e.g., China\'s Ministry of Ecology and Environment, UK BEIS/Defra, ADEME, Ecoinvent proxies), representing typical industry averages. While robust, these are secondary data and may not perfectly reflect yoongxfiri\'s specific supplier processes.</w:t>
      </w:r>
    </w:p>
    <w:p>
      <w:pPr>
        <w:numPr>
          <w:ilvl w:val="0"/>
          <w:numId w:val="1015"/>
        </w:numPr>
        <w:pStyle w:val="Compact"/>
      </w:pPr>
      <w:r>
        <w:t xml:space="preserve">**System Boundary:** The "factory_gate" system boundary for PCF calculation has been extended to include downstream transport, use, and end-of-life to provide a more holistic cradle-to-grave perspective.</w:t>
      </w:r>
    </w:p>
    <w:bookmarkEnd w:id="47"/>
    <w:bookmarkStart w:id="48" w:name="recommendations-for-decarbonization"/>
    <w:p>
      <w:pPr>
        <w:pStyle w:val="Heading3"/>
      </w:pPr>
      <w:r>
        <w:t xml:space="preserve">5.3 Recommendations for Decarbonization</w:t>
      </w:r>
    </w:p>
    <w:p>
      <w:pPr>
        <w:pStyle w:val="FirstParagraph"/>
      </w:pPr>
      <w:r>
        <w:t xml:space="preserve">Based on the identified hotspots, yoongxfiri and sqgsyzegrn recommend focusing on the following areas for emission reduction:</w:t>
      </w:r>
    </w:p>
    <w:p>
      <w:pPr>
        <w:numPr>
          <w:ilvl w:val="0"/>
          <w:numId w:val="1016"/>
        </w:numPr>
        <w:pStyle w:val="Compact"/>
      </w:pPr>
      <w:r>
        <w:t xml:space="preserve">**Enhance Use Phase Efficiency:**</w:t>
      </w:r>
    </w:p>
    <w:p>
      <w:pPr>
        <w:numPr>
          <w:ilvl w:val="1"/>
          <w:numId w:val="1017"/>
        </w:numPr>
        <w:pStyle w:val="Compact"/>
      </w:pPr>
      <w:r>
        <w:t xml:space="preserve">Innovate product design to significantly reduce energy consumption during the "zmwekkoshr" lifespan.</w:t>
      </w:r>
    </w:p>
    <w:p>
      <w:pPr>
        <w:numPr>
          <w:ilvl w:val="1"/>
          <w:numId w:val="1017"/>
        </w:numPr>
        <w:pStyle w:val="Compact"/>
      </w:pPr>
      <w:r>
        <w:t xml:space="preserve">Explore options for providing renewable energy solutions or offsets for consumers during the product\'s use.</w:t>
      </w:r>
    </w:p>
    <w:p>
      <w:pPr>
        <w:numPr>
          <w:ilvl w:val="0"/>
          <w:numId w:val="1016"/>
        </w:numPr>
        <w:pStyle w:val="Compact"/>
      </w:pPr>
      <w:r>
        <w:t xml:space="preserve">**Optimize Logistics and Last-Mile Delivery:**</w:t>
      </w:r>
    </w:p>
    <w:p>
      <w:pPr>
        <w:numPr>
          <w:ilvl w:val="1"/>
          <w:numId w:val="1018"/>
        </w:numPr>
        <w:pStyle w:val="Compact"/>
      </w:pPr>
      <w:r>
        <w:t xml:space="preserve">Investigate alternative, lower-emission transport modes for "Select Mode" and "Delivery Type" where feasible, such as rail or electric vehicles.</w:t>
      </w:r>
    </w:p>
    <w:p>
      <w:pPr>
        <w:numPr>
          <w:ilvl w:val="1"/>
          <w:numId w:val="1018"/>
        </w:numPr>
        <w:pStyle w:val="Compact"/>
      </w:pPr>
      <w:r>
        <w:t xml:space="preserve">Optimize routes and consolidate shipments to reduce "uiosuqxrmt" transport distances.</w:t>
      </w:r>
    </w:p>
    <w:p>
      <w:pPr>
        <w:numPr>
          <w:ilvl w:val="1"/>
          <w:numId w:val="1018"/>
        </w:numPr>
        <w:pStyle w:val="Compact"/>
      </w:pPr>
      <w:r>
        <w:t xml:space="preserve">Collaborate with logistics partners committed to decarbonization.</w:t>
      </w:r>
    </w:p>
    <w:p>
      <w:pPr>
        <w:numPr>
          <w:ilvl w:val="0"/>
          <w:numId w:val="1016"/>
        </w:numPr>
        <w:pStyle w:val="Compact"/>
      </w:pPr>
      <w:r>
        <w:t xml:space="preserve">**Sustainable Material Sourcing:**</w:t>
      </w:r>
    </w:p>
    <w:p>
      <w:pPr>
        <w:numPr>
          <w:ilvl w:val="1"/>
          <w:numId w:val="1019"/>
        </w:numPr>
        <w:pStyle w:val="Compact"/>
      </w:pPr>
      <w:r>
        <w:t xml:space="preserve">Increase the use of recycled content for components like "Steel Frame" and "Plastic Casing".</w:t>
      </w:r>
    </w:p>
    <w:p>
      <w:pPr>
        <w:numPr>
          <w:ilvl w:val="1"/>
          <w:numId w:val="1019"/>
        </w:numPr>
        <w:pStyle w:val="Compact"/>
      </w:pPr>
      <w:r>
        <w:t xml:space="preserve">Engage with suppliers to reduce the embodied carbon of raw materials.</w:t>
      </w:r>
    </w:p>
    <w:p>
      <w:pPr>
        <w:numPr>
          <w:ilvl w:val="0"/>
          <w:numId w:val="1016"/>
        </w:numPr>
        <w:pStyle w:val="Compact"/>
      </w:pPr>
      <w:r>
        <w:t xml:space="preserve">**Strengthen Circular Economy Initiatives:**</w:t>
      </w:r>
    </w:p>
    <w:p>
      <w:pPr>
        <w:numPr>
          <w:ilvl w:val="1"/>
          <w:numId w:val="1020"/>
        </w:numPr>
        <w:pStyle w:val="Compact"/>
      </w:pPr>
      <w:r>
        <w:t xml:space="preserve">Expand and promote the "smidnkdsyz" circular/take-back programs to maximize material recovery and reuse.</w:t>
      </w:r>
    </w:p>
    <w:p>
      <w:pPr>
        <w:numPr>
          <w:ilvl w:val="1"/>
          <w:numId w:val="1020"/>
        </w:numPr>
        <w:pStyle w:val="Compact"/>
      </w:pPr>
      <w:r>
        <w:t xml:space="preserve">Further improve the "xxrnvlxiky" recyclability percentage through design for disassembly and material selection.</w:t>
      </w:r>
    </w:p>
    <w:p>
      <w:pPr>
        <w:pStyle w:val="FirstParagraph"/>
      </w:pPr>
      <w:r>
        <w:t xml:space="preserve">Continuous monitoring, collection of primary data for all parameters, and regular updates to this PCF analysis will be crucial for tracking progress and ensuring ongoing sustainability improvements for tdpgqjsrfy. The application of the 2026 LSR Standard and diligent Scope 3 coverage will further enhance the accuracy and comparability of future reports.</w:t>
      </w:r>
    </w:p>
    <w:p>
      <w:pPr>
        <w:pStyle w:val="BodyText"/>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tdpgqjsrfy</dc:title>
  <dc:creator/>
  <dc:description>High-detail Product Carbon Footprint (PCF) analysis report for tdpgqjsrfy, performed by sqgsyzegrn for yoongxfiri, adhering to GHG Protocol and 2026 LSR Update.</dc:description>
  <dc:language>en</dc:language>
  <cp:keywords/>
  <dcterms:created xsi:type="dcterms:W3CDTF">2026-05-30T19:19:10Z</dcterms:created>
  <dcterms:modified xsi:type="dcterms:W3CDTF">2026-05-30T19:19:10Z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