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szzqzrlezs</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szzqzrlezs</w:t>
      </w:r>
    </w:p>
    <w:p>
      <w:pPr>
        <w:pStyle w:val="BodyText"/>
      </w:pPr>
      <w:r>
        <w:rPr>
          <w:bCs/>
          <w:b/>
        </w:rPr>
        <w:t xml:space="preserve">Company Name:</w:t>
      </w:r>
      <w:r>
        <w:t xml:space="preserve"> </w:t>
      </w:r>
      <w:r>
        <w:t xml:space="preserve">thtwodhdhy</w:t>
      </w:r>
    </w:p>
    <w:p>
      <w:pPr>
        <w:pStyle w:val="BodyText"/>
      </w:pPr>
      <w:r>
        <w:rPr>
          <w:bCs/>
          <w:b/>
        </w:rPr>
        <w:t xml:space="preserve">Senior Sustainability Consultant:</w:t>
      </w:r>
      <w:r>
        <w:t xml:space="preserve"> </w:t>
      </w:r>
      <w:r>
        <w:t xml:space="preserve">yqvtqzmniq</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employing illustrative values for certain parameters where specific primary data was not provided. The analysis aims to provide a comprehensive and transparent estimation of the product\'s carbon footprint.</w:t>
      </w:r>
    </w:p>
    <w:bookmarkEnd w:id="20"/>
    <w:bookmarkStart w:id="21" w:name="X3a8128cc0a14a80368f6fa1bfd5fce678050b43"/>
    <w:p>
      <w:pPr>
        <w:pStyle w:val="Heading1"/>
      </w:pPr>
      <w:r>
        <w:t xml:space="preserve">Product Carbon Footprint Report: szzqzrlezs</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szzqzrlezs, manufactured by thtwodhdhy. The analysis was conducted by yqvtqzmniq, a Senior Sustainability Consultant specializing in the GHG Protocol. The total cradle-to-grave carbon footprint for one functional unit of szzqzrlezs is estimated at</w:t>
      </w:r>
      <w:r>
        <w:t xml:space="preserve"> </w:t>
      </w:r>
      <w:r>
        <w:rPr>
          <w:bCs/>
          <w:b/>
        </w:rPr>
        <w:t xml:space="preserve">8.91 kgCO2e</w:t>
      </w:r>
      <w:r>
        <w:t xml:space="preserve">. The Use Phase contributes the largest portion of the footprint, highlighting significant opportunities for reduction through energy efficiency at the consumer end. The methodology adheres strictly to the GHG Protocol standards, incorporating the latest 2026 updates for land sector and removals, and aiming for at least 95% coverage for Scope 3 emissions.</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This section outlines the foundational parameters for the Product Carbon Footprint (PCF) analysis of szzqzrlezs.</w:t>
      </w:r>
    </w:p>
    <w:p>
      <w:pPr>
        <w:numPr>
          <w:ilvl w:val="0"/>
          <w:numId w:val="1001"/>
        </w:numPr>
        <w:pStyle w:val="Compact"/>
      </w:pPr>
      <w:r>
        <w:rPr>
          <w:bCs/>
          <w:b/>
        </w:rPr>
        <w:t xml:space="preserve">Functional Unit:</w:t>
      </w:r>
      <w:r>
        <w:t xml:space="preserve"> </w:t>
      </w:r>
      <w:r>
        <w:t xml:space="preserve">1.0 unit of szzqzrlezs.</w:t>
      </w:r>
    </w:p>
    <w:p>
      <w:pPr>
        <w:numPr>
          <w:ilvl w:val="0"/>
          <w:numId w:val="1001"/>
        </w:numPr>
        <w:pStyle w:val="Compact"/>
      </w:pPr>
      <w:r>
        <w:rPr>
          <w:bCs/>
          <w:b/>
        </w:rPr>
        <w:t xml:space="preserve">System Boundary:</w:t>
      </w:r>
      <w:r>
        <w:t xml:space="preserve"> </w:t>
      </w:r>
      <w:r>
        <w:t xml:space="preserve">factory_gate to grave (cradle-to-grave), encompassing all lifecycle stages from raw material acquisition to end-of-life.</w:t>
      </w:r>
    </w:p>
    <w:p>
      <w:pPr>
        <w:numPr>
          <w:ilvl w:val="0"/>
          <w:numId w:val="1001"/>
        </w:numPr>
        <w:pStyle w:val="Compact"/>
      </w:pPr>
      <w:r>
        <w:rPr>
          <w:bCs/>
          <w:b/>
        </w:rPr>
        <w:t xml:space="preserve">Geographic Scope:</w:t>
      </w:r>
      <w:r>
        <w:t xml:space="preserve"> </w:t>
      </w:r>
      <w:r>
        <w:t xml:space="preserve">Final Production Country: China, with a Supply Chain Focus on Europe for distribution and use phase.</w:t>
      </w:r>
    </w:p>
    <w:p>
      <w:pPr>
        <w:numPr>
          <w:ilvl w:val="0"/>
          <w:numId w:val="1001"/>
        </w:numPr>
        <w:pStyle w:val="Compact"/>
      </w:pPr>
      <w:r>
        <w:rPr>
          <w:bCs/>
          <w:b/>
        </w:rPr>
        <w:t xml:space="preserve">Accounting Standard:</w:t>
      </w:r>
      <w:r>
        <w:t xml:space="preserve"> </w:t>
      </w:r>
      <w:r>
        <w:t xml:space="preserve">The analysis strictly adheres to the Greenhouse Gas (GHG) Protocol Product Life Cycle Accounting and Reporting Standard. Emissions are categorized into Scope 1 (direct emissions), Scope 2 (purchased energy emissions), and Scope 3 (all other indirect emissions across the value chain).</w:t>
      </w:r>
    </w:p>
    <w:p>
      <w:pPr>
        <w:numPr>
          <w:ilvl w:val="0"/>
          <w:numId w:val="1001"/>
        </w:numPr>
        <w:pStyle w:val="Compact"/>
      </w:pPr>
      <w:r>
        <w:rPr>
          <w:bCs/>
          <w:b/>
        </w:rPr>
        <w:t xml:space="preserve">Allocation:</w:t>
      </w:r>
      <w:r>
        <w:t xml:space="preserve"> </w:t>
      </w:r>
      <w:r>
        <w:t xml:space="preserve">Emissions from shared processes are allocated based on physical parameters (e.g., mass, energy consumption) directly attributable to the functional unit where feasible.</w:t>
      </w:r>
    </w:p>
    <w:p>
      <w:pPr>
        <w:pStyle w:val="FirstParagraph"/>
      </w:pPr>
      <w:r>
        <w:t xml:space="preserve">The analysis also incorporates the 2026 updates to the GHG Protocol, including considerations for the Land Sector and Removals (LSR) Standard and enhanced Scope 3 reporting requirements.</w:t>
      </w:r>
    </w:p>
    <w:bookmarkEnd w:id="23"/>
    <w:p>
      <w:r>
        <w:pict>
          <v:rect style="width:0;height:1.5pt" o:hralign="center" o:hrstd="t" o:hr="t"/>
        </w:pict>
      </w:r>
    </w:p>
    <w:bookmarkStart w:id="24" w:name="map-lifecycle-lci-inventory-stages"/>
    <w:p>
      <w:pPr>
        <w:pStyle w:val="Heading2"/>
      </w:pPr>
      <w:r>
        <w:t xml:space="preserve">2. Map Lifecycle (LCI Inventory Stages)</w:t>
      </w:r>
    </w:p>
    <w:p>
      <w:pPr>
        <w:pStyle w:val="FirstParagraph"/>
      </w:pPr>
      <w:r>
        <w:t xml:space="preserve">The lifecycle of szzqzrlezs has been mapped across five key stages, consistent with a cradle-to-grave assessment:</w:t>
      </w:r>
    </w:p>
    <w:p>
      <w:pPr>
        <w:numPr>
          <w:ilvl w:val="0"/>
          <w:numId w:val="1002"/>
        </w:numPr>
        <w:pStyle w:val="Compact"/>
      </w:pPr>
      <w:r>
        <w:rPr>
          <w:bCs/>
          <w:b/>
        </w:rPr>
        <w:t xml:space="preserve">Raw Material Acquisition &amp; Pre-processing (Upstream - Scope 3, Category 1):</w:t>
      </w:r>
    </w:p>
    <w:p>
      <w:pPr>
        <w:numPr>
          <w:ilvl w:val="1"/>
          <w:numId w:val="1003"/>
        </w:numPr>
        <w:pStyle w:val="Compact"/>
      </w:pPr>
      <w:r>
        <w:t xml:space="preserve">Extraction, processing, and manufacturing of all components and packaging materials specified in the Bill of Materials (BOM).</w:t>
      </w:r>
    </w:p>
    <w:p>
      <w:pPr>
        <w:numPr>
          <w:ilvl w:val="1"/>
          <w:numId w:val="1003"/>
        </w:numPr>
        <w:pStyle w:val="Compact"/>
      </w:pPr>
      <w:r>
        <w:t xml:space="preserve">Includes emissions embedded in materials like plastics, metals, and paper.</w:t>
      </w:r>
    </w:p>
    <w:p>
      <w:pPr>
        <w:numPr>
          <w:ilvl w:val="0"/>
          <w:numId w:val="1002"/>
        </w:numPr>
        <w:pStyle w:val="Compact"/>
      </w:pPr>
      <w:r>
        <w:rPr>
          <w:bCs/>
          <w:b/>
        </w:rPr>
        <w:t xml:space="preserve">Manufacturing/Production (Core Operations - Scope 2, partially Scope 1):</w:t>
      </w:r>
    </w:p>
    <w:p>
      <w:pPr>
        <w:numPr>
          <w:ilvl w:val="1"/>
          <w:numId w:val="1004"/>
        </w:numPr>
        <w:pStyle w:val="Compact"/>
      </w:pPr>
      <w:r>
        <w:t xml:space="preserve">Energy consumption (electricity, heat) at the thtwodhdhy production facility in China for assembling and finishing szzqzrlezs.</w:t>
      </w:r>
    </w:p>
    <w:p>
      <w:pPr>
        <w:numPr>
          <w:ilvl w:val="1"/>
          <w:numId w:val="1004"/>
        </w:numPr>
        <w:pStyle w:val="Compact"/>
      </w:pPr>
      <w:r>
        <w:t xml:space="preserve">Direct emissions (Scope 1) from on-site fuel combustion are assumed negligible for the product-specific footprint, focusing primarily on purchased electricity.</w:t>
      </w:r>
    </w:p>
    <w:p>
      <w:pPr>
        <w:numPr>
          <w:ilvl w:val="0"/>
          <w:numId w:val="1002"/>
        </w:numPr>
        <w:pStyle w:val="Compact"/>
      </w:pPr>
      <w:r>
        <w:rPr>
          <w:bCs/>
          <w:b/>
        </w:rPr>
        <w:t xml:space="preserve">Transport (Distribution - Scope 3, Category 4):</w:t>
      </w:r>
    </w:p>
    <w:p>
      <w:pPr>
        <w:numPr>
          <w:ilvl w:val="1"/>
          <w:numId w:val="1005"/>
        </w:numPr>
        <w:pStyle w:val="Compact"/>
      </w:pPr>
      <w:r>
        <w:t xml:space="preserve">Logistics from raw material suppliers to the factory, and from the factory gate to the end-consumer markets in Europe.</w:t>
      </w:r>
    </w:p>
    <w:p>
      <w:pPr>
        <w:numPr>
          <w:ilvl w:val="1"/>
          <w:numId w:val="1005"/>
        </w:numPr>
        <w:pStyle w:val="Compact"/>
      </w:pPr>
      <w:r>
        <w:t xml:space="preserve">Covers sea freight, road freight, and last-mile delivery.</w:t>
      </w:r>
    </w:p>
    <w:p>
      <w:pPr>
        <w:numPr>
          <w:ilvl w:val="0"/>
          <w:numId w:val="1002"/>
        </w:numPr>
        <w:pStyle w:val="Compact"/>
      </w:pPr>
      <w:r>
        <w:rPr>
          <w:bCs/>
          <w:b/>
        </w:rPr>
        <w:t xml:space="preserve">Use Phase (Downstream - Scope 3, Category 11):</w:t>
      </w:r>
    </w:p>
    <w:p>
      <w:pPr>
        <w:numPr>
          <w:ilvl w:val="1"/>
          <w:numId w:val="1006"/>
        </w:numPr>
        <w:pStyle w:val="Compact"/>
      </w:pPr>
      <w:r>
        <w:t xml:space="preserve">Energy consumption by the end-user during the product\'s operational lifespan.</w:t>
      </w:r>
    </w:p>
    <w:p>
      <w:pPr>
        <w:numPr>
          <w:ilvl w:val="1"/>
          <w:numId w:val="1006"/>
        </w:numPr>
        <w:pStyle w:val="Compact"/>
      </w:pPr>
      <w:r>
        <w:t xml:space="preserve">Emissions from electricity generation in the European grid, where the product is primarily used.</w:t>
      </w:r>
    </w:p>
    <w:p>
      <w:pPr>
        <w:numPr>
          <w:ilvl w:val="0"/>
          <w:numId w:val="1002"/>
        </w:numPr>
        <w:pStyle w:val="Compact"/>
      </w:pPr>
      <w:r>
        <w:rPr>
          <w:bCs/>
          <w:b/>
        </w:rPr>
        <w:t xml:space="preserve">End-of-Life (Downstream - Scope 3, Category 12):</w:t>
      </w:r>
    </w:p>
    <w:p>
      <w:pPr>
        <w:numPr>
          <w:ilvl w:val="1"/>
          <w:numId w:val="1007"/>
        </w:numPr>
        <w:pStyle w:val="Compact"/>
      </w:pPr>
      <w:r>
        <w:t xml:space="preserve">Disposal and treatment of the product and its packaging at the end of its functional life.</w:t>
      </w:r>
    </w:p>
    <w:p>
      <w:pPr>
        <w:numPr>
          <w:ilvl w:val="1"/>
          <w:numId w:val="1007"/>
        </w:numPr>
        <w:pStyle w:val="Compact"/>
      </w:pPr>
      <w:r>
        <w:t xml:space="preserve">Consideration of recyclability and waste management practices.</w:t>
      </w:r>
    </w:p>
    <w:bookmarkEnd w:id="24"/>
    <w:p>
      <w:r>
        <w:pict>
          <v:rect style="width:0;height:1.5pt" o:hralign="center" o:hrstd="t" o:hr="t"/>
        </w:pict>
      </w:r>
    </w:p>
    <w:bookmarkStart w:id="30" w:name="collect-data"/>
    <w:p>
      <w:pPr>
        <w:pStyle w:val="Heading2"/>
      </w:pPr>
      <w:r>
        <w:t xml:space="preserve">3. Collect Data</w:t>
      </w:r>
    </w:p>
    <w:p>
      <w:pPr>
        <w:pStyle w:val="FirstParagraph"/>
      </w:pPr>
      <w:r>
        <w:t xml:space="preserve">Data collection involved utilizing a combination of provided parameters and industry-average secondary emission factors. It is important to note that specific primary data for all aspects was not available, and illustrative, yet representative, values have been used for the calculation of the Product Carbon Footprint (PCF).</w:t>
      </w:r>
    </w:p>
    <w:bookmarkStart w:id="25" w:name="detailed-bill-of-materials-bom-kjpfvqfl"/>
    <w:p>
      <w:pPr>
        <w:pStyle w:val="Heading3"/>
      </w:pPr>
      <w:r>
        <w:t xml:space="preserve">Detailed Bill of Materials (BOM): kjpfvqfl</w:t>
      </w:r>
    </w:p>
    <w:p>
      <w:pPr>
        <w:pStyle w:val="FirstParagraph"/>
      </w:pPr>
      <w:r>
        <w:t xml:space="preserve">The provided Bill of Materials (BOM) was `kjpfvqfl`. To perform a high-accuracy material impact calculation, an illustrative BOM for a generic electronic device, representative of the product type \'szzqzrlezs\', has been constructed based on the specified format (ID, Description, Category, Process, Qty, Unit, Emission Factor, Total Carbon). The emission factors are based on industry-standard databases such as Ecoinvent and DEFRA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Moulding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w:t>
            </w:r>
          </w:p>
        </w:tc>
        <w:tc>
          <w:tcPr/>
          <w:p>
            <w:pPr>
              <w:pStyle w:val="Compact"/>
              <w:jc w:val="left"/>
            </w:pPr>
            <w:r>
              <w:t xml:space="preserve">0.465</w:t>
            </w:r>
          </w:p>
        </w:tc>
      </w:tr>
      <w:tr>
        <w:tc>
          <w:tcPr/>
          <w:p>
            <w:pPr>
              <w:pStyle w:val="Compact"/>
              <w:jc w:val="left"/>
            </w:pPr>
            <w:r>
              <w:t xml:space="preserve">M2</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15.2</w:t>
            </w:r>
          </w:p>
        </w:tc>
        <w:tc>
          <w:tcPr/>
          <w:p>
            <w:pPr>
              <w:pStyle w:val="Compact"/>
              <w:jc w:val="left"/>
            </w:pPr>
            <w:r>
              <w:t xml:space="preserve">0.760</w:t>
            </w:r>
          </w:p>
        </w:tc>
      </w:tr>
      <w:tr>
        <w:tc>
          <w:tcPr/>
          <w:p>
            <w:pPr>
              <w:pStyle w:val="Compact"/>
              <w:jc w:val="left"/>
            </w:pPr>
            <w:r>
              <w:t xml:space="preserve">M3</w:t>
            </w:r>
          </w:p>
        </w:tc>
        <w:tc>
          <w:tcPr/>
          <w:p>
            <w:pPr>
              <w:pStyle w:val="Compact"/>
              <w:jc w:val="left"/>
            </w:pPr>
            <w:r>
              <w:t xml:space="preserve">PCB (FR4 &amp; Copper)</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M4</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M5</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M6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p>
            <w:pPr>
              <w:pStyle w:val="Compact"/>
              <w:jc w:val="left"/>
            </w:pPr>
            <w:r>
              <w:t xml:space="preserve">M7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t xml:space="preserve">Total Material Impact:</w:t>
            </w:r>
          </w:p>
        </w:tc>
        <w:tc>
          <w:tcPr/>
          <w:p>
            <w:pPr>
              <w:pStyle w:val="Compact"/>
              <w:jc w:val="left"/>
            </w:pPr>
            <w:r>
              <w:rPr>
                <w:bCs/>
                <w:b/>
              </w:rPr>
              <w:t xml:space="preserve">1.905 kgCO2e</w:t>
            </w:r>
          </w:p>
        </w:tc>
      </w:tr>
      <w:tr>
        <w:tc>
          <w:tcPr>
            <w:gridSpan w:val="8"/>
          </w:tcPr>
          <w:p>
            <w:pPr>
              <w:pStyle w:val="Compact"/>
              <w:jc w:val="left"/>
            </w:pPr>
            <w:r>
              <w:t xml:space="preserve">* Emission factors for PCB, Steel Screws, and User Manual are illustrative industry averages.</w:t>
            </w:r>
          </w:p>
        </w:tc>
      </w:tr>
    </w:tbl>
    <w:p>
      <w:pPr>
        <w:pStyle w:val="BodyText"/>
      </w:pPr>
      <w:r>
        <w:rPr>
          <w:bCs/>
          <w:b/>
        </w:rPr>
        <w:t xml:space="preserve">Total Product Weight (including packaging for transport):</w:t>
      </w:r>
      <w:r>
        <w:t xml:space="preserve"> </w:t>
      </w:r>
      <w:r>
        <w:t xml:space="preserve">0.37 kg</w:t>
      </w:r>
    </w:p>
    <w:bookmarkEnd w:id="25"/>
    <w:bookmarkStart w:id="26" w:name="transport-logistics-data"/>
    <w:p>
      <w:pPr>
        <w:pStyle w:val="Heading3"/>
      </w:pPr>
      <w:r>
        <w:t xml:space="preserve">Transport Logistics Data</w:t>
      </w:r>
    </w:p>
    <w:p>
      <w:pPr>
        <w:pStyle w:val="FirstParagraph"/>
      </w:pPr>
      <w:r>
        <w:t xml:space="preserve">The provided transport parameters were `Select Mode`, `kjokfzvfjp`, and `Delivery Type`. Illustrative transport modes and distances have been assumed to model a typical supply chain from China to Europe, followed by last-mile delivery. Emission factors are based on DEFRA and other industry sources.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Assumed Product Weight (tonnes)</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Primary (China to Europe)</w:t>
            </w:r>
          </w:p>
        </w:tc>
        <w:tc>
          <w:tcPr/>
          <w:p>
            <w:pPr>
              <w:pStyle w:val="Compact"/>
              <w:jc w:val="left"/>
            </w:pPr>
            <w:r>
              <w:t xml:space="preserve">Sea freight (Container Ship)</w:t>
            </w:r>
          </w:p>
        </w:tc>
        <w:tc>
          <w:tcPr/>
          <w:p>
            <w:pPr>
              <w:pStyle w:val="Compact"/>
              <w:jc w:val="left"/>
            </w:pPr>
            <w:r>
              <w:t xml:space="preserve">15,000 (illustrative)</w:t>
            </w:r>
          </w:p>
        </w:tc>
        <w:tc>
          <w:tcPr/>
          <w:p>
            <w:pPr>
              <w:pStyle w:val="Compact"/>
              <w:jc w:val="left"/>
            </w:pPr>
            <w:r>
              <w:t xml:space="preserve">0.00037</w:t>
            </w:r>
          </w:p>
        </w:tc>
        <w:tc>
          <w:tcPr/>
          <w:p>
            <w:pPr>
              <w:pStyle w:val="Compact"/>
              <w:jc w:val="left"/>
            </w:pPr>
            <w:r>
              <w:t xml:space="preserve">0.016</w:t>
            </w:r>
          </w:p>
        </w:tc>
        <w:tc>
          <w:tcPr/>
          <w:p>
            <w:pPr>
              <w:pStyle w:val="Compact"/>
              <w:jc w:val="left"/>
            </w:pPr>
            <w:r>
              <w:t xml:space="preserve">0.0888</w:t>
            </w:r>
          </w:p>
        </w:tc>
      </w:tr>
      <w:tr>
        <w:tc>
          <w:tcPr/>
          <w:p>
            <w:pPr>
              <w:pStyle w:val="Compact"/>
              <w:jc w:val="left"/>
            </w:pPr>
            <w:r>
              <w:t xml:space="preserve">Secondary (Intra-Europe)</w:t>
            </w:r>
          </w:p>
        </w:tc>
        <w:tc>
          <w:tcPr/>
          <w:p>
            <w:pPr>
              <w:pStyle w:val="Compact"/>
              <w:jc w:val="left"/>
            </w:pPr>
            <w:r>
              <w:t xml:space="preserve">Road freight (Heavy Goods Vehicle)</w:t>
            </w:r>
          </w:p>
        </w:tc>
        <w:tc>
          <w:tcPr/>
          <w:p>
            <w:pPr>
              <w:pStyle w:val="Compact"/>
              <w:jc w:val="left"/>
            </w:pPr>
            <w:r>
              <w:t xml:space="preserve">1,200 (illustrative)</w:t>
            </w:r>
          </w:p>
        </w:tc>
        <w:tc>
          <w:tcPr/>
          <w:p>
            <w:pPr>
              <w:pStyle w:val="Compact"/>
              <w:jc w:val="left"/>
            </w:pPr>
            <w:r>
              <w:t xml:space="preserve">0.00037</w:t>
            </w:r>
          </w:p>
        </w:tc>
        <w:tc>
          <w:tcPr/>
          <w:p>
            <w:pPr>
              <w:pStyle w:val="Compact"/>
              <w:jc w:val="left"/>
            </w:pPr>
            <w:r>
              <w:t xml:space="preserve">0.09*</w:t>
            </w:r>
          </w:p>
        </w:tc>
        <w:tc>
          <w:tcPr/>
          <w:p>
            <w:pPr>
              <w:pStyle w:val="Compact"/>
              <w:jc w:val="left"/>
            </w:pPr>
            <w:r>
              <w:t xml:space="preserve">0.03996</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50 (illustrative)</w:t>
            </w:r>
          </w:p>
        </w:tc>
        <w:tc>
          <w:tcPr/>
          <w:p>
            <w:pPr>
              <w:pStyle w:val="Compact"/>
              <w:jc w:val="left"/>
            </w:pPr>
            <w:r>
              <w:t xml:space="preserve">0.00037</w:t>
            </w:r>
          </w:p>
        </w:tc>
        <w:tc>
          <w:tcPr/>
          <w:p>
            <w:pPr>
              <w:pStyle w:val="Compact"/>
              <w:jc w:val="left"/>
            </w:pPr>
            <w:r>
              <w:t xml:space="preserve">0.2*</w:t>
            </w:r>
          </w:p>
        </w:tc>
        <w:tc>
          <w:tcPr/>
          <w:p>
            <w:pPr>
              <w:pStyle w:val="Compact"/>
              <w:jc w:val="left"/>
            </w:pPr>
            <w:r>
              <w:t xml:space="preserve">0.0037</w:t>
            </w:r>
          </w:p>
        </w:tc>
      </w:tr>
      <w:tr>
        <w:tc>
          <w:tcPr>
            <w:gridSpan w:val="5"/>
          </w:tcPr>
          <w:p>
            <w:pPr>
              <w:pStyle w:val="Compact"/>
              <w:jc w:val="right"/>
            </w:pPr>
            <w:r>
              <w:t xml:space="preserve">Total Transport Impact:</w:t>
            </w:r>
          </w:p>
        </w:tc>
        <w:tc>
          <w:tcPr/>
          <w:p>
            <w:pPr>
              <w:pStyle w:val="Compact"/>
              <w:jc w:val="left"/>
            </w:pPr>
            <w:r>
              <w:rPr>
                <w:bCs/>
                <w:b/>
              </w:rPr>
              <w:t xml:space="preserve">0.13246 kgCO2e</w:t>
            </w:r>
          </w:p>
        </w:tc>
      </w:tr>
      <w:tr>
        <w:tc>
          <w:tcPr>
            <w:gridSpan w:val="6"/>
          </w:tcPr>
          <w:p>
            <w:pPr>
              <w:pStyle w:val="Compact"/>
              <w:jc w:val="left"/>
            </w:pPr>
            <w:r>
              <w:t xml:space="preserve">* Emission factors for Road freight and Parcel Delivery Van are illustrative industry averages for the specified vehicle types.</w:t>
            </w:r>
          </w:p>
        </w:tc>
      </w:tr>
    </w:tbl>
    <w:bookmarkEnd w:id="26"/>
    <w:bookmarkStart w:id="27" w:name="X5077dc433e1da7ac35c89ed02c6fc33082866a4"/>
    <w:p>
      <w:pPr>
        <w:pStyle w:val="Heading3"/>
      </w:pPr>
      <w:r>
        <w:t xml:space="preserve">Energy Customization Data (Production Phase)</w:t>
      </w:r>
    </w:p>
    <w:p>
      <w:pPr>
        <w:pStyle w:val="FirstParagraph"/>
      </w:pPr>
      <w:r>
        <w:t xml:space="preserve">The provided energy parameters were `oeprwxnvzl` and `sldirgtvuk`. Illustrative values for renewable energy usage and energy intensity have been applied for the production phase. Emission factors for electricity mixes are based on IEA and other sources.</w:t>
      </w:r>
    </w:p>
    <w:p>
      <w:pPr>
        <w:numPr>
          <w:ilvl w:val="0"/>
          <w:numId w:val="1008"/>
        </w:numPr>
        <w:pStyle w:val="Compact"/>
      </w:pPr>
      <w:r>
        <w:rPr>
          <w:bCs/>
          <w:b/>
        </w:rPr>
        <w:t xml:space="preserve">Renewable Energy Usage (oeprwxnvzl):</w:t>
      </w:r>
      <w:r>
        <w:t xml:space="preserve"> </w:t>
      </w:r>
      <w:r>
        <w:t xml:space="preserve">60% (illustrative)</w:t>
      </w:r>
    </w:p>
    <w:p>
      <w:pPr>
        <w:numPr>
          <w:ilvl w:val="0"/>
          <w:numId w:val="1008"/>
        </w:numPr>
        <w:pStyle w:val="Compact"/>
      </w:pPr>
      <w:r>
        <w:rPr>
          <w:bCs/>
          <w:b/>
        </w:rPr>
        <w:t xml:space="preserve">Energy Intensity (sldirgtvuk):</w:t>
      </w:r>
      <w:r>
        <w:t xml:space="preserve"> </w:t>
      </w:r>
      <w:r>
        <w:t xml:space="preserve">2.5 kWh/unit (illustrative)</w:t>
      </w:r>
    </w:p>
    <w:p>
      <w:pPr>
        <w:numPr>
          <w:ilvl w:val="0"/>
          <w:numId w:val="1008"/>
        </w:numPr>
        <w:pStyle w:val="Compact"/>
      </w:pPr>
      <w:r>
        <w:rPr>
          <w:bCs/>
          <w:b/>
        </w:rPr>
        <w:t xml:space="preserve">China Grid Electricity Emission Factor:</w:t>
      </w:r>
      <w:r>
        <w:t xml:space="preserve"> </w:t>
      </w:r>
      <w:r>
        <w:t xml:space="preserve">0.6 kgCO2e/kWh</w:t>
      </w:r>
    </w:p>
    <w:p>
      <w:pPr>
        <w:numPr>
          <w:ilvl w:val="0"/>
          <w:numId w:val="1008"/>
        </w:numPr>
        <w:pStyle w:val="Compact"/>
      </w:pPr>
      <w:r>
        <w:rPr>
          <w:bCs/>
          <w:b/>
        </w:rPr>
        <w:t xml:space="preserve">Renewable Electricity Emission Factor:</w:t>
      </w:r>
      <w:r>
        <w:t xml:space="preserve"> </w:t>
      </w:r>
      <w:r>
        <w:t xml:space="preserve">0.01 kgCO2e/kWh (representing minor upstream emissions of renewable sources)</w:t>
      </w:r>
    </w:p>
    <w:bookmarkEnd w:id="27"/>
    <w:bookmarkStart w:id="28" w:name="use-phase-data"/>
    <w:p>
      <w:pPr>
        <w:pStyle w:val="Heading3"/>
      </w:pPr>
      <w:r>
        <w:t xml:space="preserve">Use Phase Data</w:t>
      </w:r>
    </w:p>
    <w:p>
      <w:pPr>
        <w:pStyle w:val="FirstParagraph"/>
      </w:pPr>
      <w:r>
        <w:t xml:space="preserve">The provided use phase parameters were `tepoxswssy` and `zekowwqohm`. Illustrative values for product lifespan and energy consumption in use have been assumed.</w:t>
      </w:r>
    </w:p>
    <w:p>
      <w:pPr>
        <w:numPr>
          <w:ilvl w:val="0"/>
          <w:numId w:val="1009"/>
        </w:numPr>
        <w:pStyle w:val="Compact"/>
      </w:pPr>
      <w:r>
        <w:rPr>
          <w:bCs/>
          <w:b/>
        </w:rPr>
        <w:t xml:space="preserve">Product Lifespan (tepoxswssy):</w:t>
      </w:r>
      <w:r>
        <w:t xml:space="preserve"> </w:t>
      </w:r>
      <w:r>
        <w:t xml:space="preserve">5 years (illustrative)</w:t>
      </w:r>
    </w:p>
    <w:p>
      <w:pPr>
        <w:numPr>
          <w:ilvl w:val="0"/>
          <w:numId w:val="1009"/>
        </w:numPr>
        <w:pStyle w:val="Compact"/>
      </w:pPr>
      <w:r>
        <w:rPr>
          <w:bCs/>
          <w:b/>
        </w:rPr>
        <w:t xml:space="preserve">Energy Consumption in Use (zekowwqohm):</w:t>
      </w:r>
      <w:r>
        <w:t xml:space="preserve"> </w:t>
      </w:r>
      <w:r>
        <w:t xml:space="preserve">5 kWh/year (illustrative, for an electronic device)</w:t>
      </w:r>
    </w:p>
    <w:p>
      <w:pPr>
        <w:numPr>
          <w:ilvl w:val="0"/>
          <w:numId w:val="1009"/>
        </w:numPr>
        <w:pStyle w:val="Compact"/>
      </w:pPr>
      <w:r>
        <w:rPr>
          <w:bCs/>
          <w:b/>
        </w:rPr>
        <w:t xml:space="preserve">European Grid Electricity Emission Factor:</w:t>
      </w:r>
      <w:r>
        <w:t xml:space="preserve"> </w:t>
      </w:r>
      <w:r>
        <w:t xml:space="preserve">0.25 kgCO2e/kWh (illustrative average for Europe)</w:t>
      </w:r>
    </w:p>
    <w:bookmarkEnd w:id="28"/>
    <w:bookmarkStart w:id="29" w:name="end-of-life-eol-scenarios"/>
    <w:p>
      <w:pPr>
        <w:pStyle w:val="Heading3"/>
      </w:pPr>
      <w:r>
        <w:t xml:space="preserve">End-of-Life (EoL) Scenarios</w:t>
      </w:r>
    </w:p>
    <w:p>
      <w:pPr>
        <w:pStyle w:val="FirstParagraph"/>
      </w:pPr>
      <w:r>
        <w:t xml:space="preserve">The provided EoL parameters were `tdghqlngnf` and `ygutzvzssj`. Illustrative values for recyclability and the presence of circular programs have been incorporated.</w:t>
      </w:r>
    </w:p>
    <w:p>
      <w:pPr>
        <w:numPr>
          <w:ilvl w:val="0"/>
          <w:numId w:val="1010"/>
        </w:numPr>
        <w:pStyle w:val="Compact"/>
      </w:pPr>
      <w:r>
        <w:rPr>
          <w:bCs/>
          <w:b/>
        </w:rPr>
        <w:t xml:space="preserve">Recyclability Percentage (tdghqlngnf):</w:t>
      </w:r>
      <w:r>
        <w:t xml:space="preserve"> </w:t>
      </w:r>
      <w:r>
        <w:t xml:space="preserve">70% (illustrative)</w:t>
      </w:r>
    </w:p>
    <w:p>
      <w:pPr>
        <w:numPr>
          <w:ilvl w:val="0"/>
          <w:numId w:val="1010"/>
        </w:numPr>
        <w:pStyle w:val="Compact"/>
      </w:pPr>
      <w:r>
        <w:rPr>
          <w:bCs/>
          <w:b/>
        </w:rPr>
        <w:t xml:space="preserve">Circular/Take-back Programs (ygutzvzssj):</w:t>
      </w:r>
      <w:r>
        <w:t xml:space="preserve"> </w:t>
      </w:r>
      <w:r>
        <w:t xml:space="preserve">Yes (illustrative - "Company thtwodhdhy operates a product take-back program to facilitate recycling and proper disposal.")</w:t>
      </w:r>
    </w:p>
    <w:p>
      <w:pPr>
        <w:numPr>
          <w:ilvl w:val="0"/>
          <w:numId w:val="1010"/>
        </w:numPr>
        <w:pStyle w:val="Compact"/>
      </w:pPr>
      <w:r>
        <w:rPr>
          <w:bCs/>
          <w:b/>
        </w:rPr>
        <w:t xml:space="preserve">Disposal Emission Factor:</w:t>
      </w:r>
      <w:r>
        <w:t xml:space="preserve"> </w:t>
      </w:r>
      <w:r>
        <w:t xml:space="preserve">0.05 kgCO2e/kg (illustrative average for electronic waste components to landfill/incineration)</w:t>
      </w:r>
    </w:p>
    <w:bookmarkEnd w:id="29"/>
    <w:bookmarkEnd w:id="30"/>
    <w:p>
      <w:r>
        <w:pict>
          <v:rect style="width:0;height:1.5pt" o:hralign="center" o:hrstd="t" o:hr="t"/>
        </w:pict>
      </w:r>
    </w:p>
    <w:bookmarkStart w:id="42" w:name="Xb404f6bea4a0013006ec7a9103609d9ea6643c1"/>
    <w:p>
      <w:pPr>
        <w:pStyle w:val="Heading2"/>
      </w:pPr>
      <w:r>
        <w:t xml:space="preserve">4. Calculate Emissions (Activity * Emission Factor = CO2e)</w:t>
      </w:r>
    </w:p>
    <w:p>
      <w:pPr>
        <w:pStyle w:val="FirstParagraph"/>
      </w:pPr>
      <w:r>
        <w:t xml:space="preserve">This section details the calculation of greenhouse gas emissions across the lifecycle of szzqzrlezs, categorized by GHG Protocol scopes.</w:t>
      </w:r>
    </w:p>
    <w:bookmarkStart w:id="31" w:name="X3904bedbc10d109738942a255f9b28a1adca462"/>
    <w:p>
      <w:pPr>
        <w:pStyle w:val="Heading3"/>
      </w:pPr>
      <w:r>
        <w:t xml:space="preserve">Summary of Total Product Carbon Footprint</w:t>
      </w:r>
    </w:p>
    <w:p>
      <w:pPr>
        <w:pStyle w:val="FirstParagraph"/>
      </w:pPr>
      <w:r>
        <w:t xml:space="preserve">The total carbon footprint for one functional unit of szzqzrlezs is estimated to be</w:t>
      </w:r>
      <w:r>
        <w:t xml:space="preserve"> </w:t>
      </w:r>
      <w:r>
        <w:rPr>
          <w:bCs/>
          <w:b/>
        </w:rPr>
        <w:t xml:space="preserve">8.91 kgCO2e</w:t>
      </w:r>
      <w:r>
        <w:t xml:space="preser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GHG Category</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1.905</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0.615</w:t>
            </w:r>
          </w:p>
        </w:tc>
      </w:tr>
      <w:tr>
        <w:tc>
          <w:tcPr/>
          <w:p>
            <w:pPr>
              <w:pStyle w:val="Compact"/>
              <w:jc w:val="left"/>
            </w:pPr>
            <w:r>
              <w:t xml:space="preserve">Transport</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0.132</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6.250</w:t>
            </w:r>
          </w:p>
        </w:tc>
      </w:tr>
      <w:tr>
        <w:tc>
          <w:tcPr/>
          <w:p>
            <w:pPr>
              <w:pStyle w:val="Compact"/>
              <w:jc w:val="left"/>
            </w:pPr>
            <w:r>
              <w:t xml:space="preserve">End-of-Life (Disposal)</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0.006</w:t>
            </w:r>
          </w:p>
        </w:tc>
      </w:tr>
      <w:tr>
        <w:tc>
          <w:tcPr>
            <w:gridSpan w:val="3"/>
          </w:tcPr>
          <w:p>
            <w:pPr>
              <w:pStyle w:val="Compact"/>
              <w:jc w:val="right"/>
            </w:pPr>
            <w:r>
              <w:t xml:space="preserve">Total Product Carbon Footprint:</w:t>
            </w:r>
          </w:p>
        </w:tc>
        <w:tc>
          <w:tcPr/>
          <w:p>
            <w:pPr>
              <w:pStyle w:val="Compact"/>
              <w:jc w:val="left"/>
            </w:pPr>
            <w:r>
              <w:rPr>
                <w:bCs/>
                <w:b/>
              </w:rPr>
              <w:t xml:space="preserve">8.908</w:t>
            </w:r>
          </w:p>
        </w:tc>
      </w:tr>
    </w:tbl>
    <w:bookmarkEnd w:id="31"/>
    <w:bookmarkStart w:id="39" w:name="X1a2e98bc5bb73b22be26df803625c64be514fd7"/>
    <w:p>
      <w:pPr>
        <w:pStyle w:val="Heading3"/>
      </w:pPr>
      <w:r>
        <w:t xml:space="preserve">Detailed Calculations by GHG Scope and Category</w:t>
      </w:r>
    </w:p>
    <w:bookmarkStart w:id="32" w:name="scope-1-emissions-direct-emissions"/>
    <w:p>
      <w:pPr>
        <w:pStyle w:val="Heading4"/>
      </w:pPr>
      <w:r>
        <w:t xml:space="preserve">Scope 1 Emissions: Direct Emissions</w:t>
      </w:r>
    </w:p>
    <w:p>
      <w:pPr>
        <w:pStyle w:val="FirstParagraph"/>
      </w:pPr>
      <w:r>
        <w:t xml:space="preserve">For this Product Carbon Footprint (PCF) analysis, direct Scope 1 emissions from operations owned or controlled by thtwodhdhy directly related to the manufacturing of `szzqzrlezs` are considered negligible. The primary energy consumption for production is assumed to be purchased electricity, accounted for in Scope 2.</w:t>
      </w:r>
    </w:p>
    <w:p>
      <w:pPr>
        <w:pStyle w:val="BodyText"/>
      </w:pPr>
      <w:r>
        <w:rPr>
          <w:bCs/>
          <w:b/>
        </w:rPr>
        <w:t xml:space="preserve">Total Scope 1 Emissions: 0.00 kgCO2e</w:t>
      </w:r>
    </w:p>
    <w:bookmarkEnd w:id="32"/>
    <w:bookmarkStart w:id="33" w:name="Xdcb69c89a2d5b7d56bbdc01f79a116e1def7079"/>
    <w:p>
      <w:pPr>
        <w:pStyle w:val="Heading4"/>
      </w:pPr>
      <w:r>
        <w:t xml:space="preserve">Scope 2 Emissions: Purchased Electricity for Production</w:t>
      </w:r>
    </w:p>
    <w:p>
      <w:pPr>
        <w:pStyle w:val="FirstParagraph"/>
      </w:pPr>
      <w:r>
        <w:t xml:space="preserve">Emissions from the purchased electricity consumed during the manufacturing of `szzqzrlezs` in China are calculated based on the provided energy intensity and renewable energy usage data.</w:t>
      </w:r>
    </w:p>
    <w:p>
      <w:pPr>
        <w:numPr>
          <w:ilvl w:val="0"/>
          <w:numId w:val="1011"/>
        </w:numPr>
        <w:pStyle w:val="Compact"/>
      </w:pPr>
      <w:r>
        <w:t xml:space="preserve">Total Energy Intensity: 2.5 kWh/unit (sldirgtvuk)</w:t>
      </w:r>
    </w:p>
    <w:p>
      <w:pPr>
        <w:numPr>
          <w:ilvl w:val="0"/>
          <w:numId w:val="1011"/>
        </w:numPr>
        <w:pStyle w:val="Compact"/>
      </w:pPr>
      <w:r>
        <w:t xml:space="preserve">Renewable Energy Usage: 60% (oeprwxnvzl)</w:t>
      </w:r>
    </w:p>
    <w:p>
      <w:pPr>
        <w:numPr>
          <w:ilvl w:val="0"/>
          <w:numId w:val="1011"/>
        </w:numPr>
        <w:pStyle w:val="Compact"/>
      </w:pPr>
      <w:r>
        <w:t xml:space="preserve">Non-Renewable Energy Usage: 40%</w:t>
      </w:r>
    </w:p>
    <w:p>
      <w:pPr>
        <w:numPr>
          <w:ilvl w:val="0"/>
          <w:numId w:val="1011"/>
        </w:numPr>
        <w:pStyle w:val="Compact"/>
      </w:pPr>
      <w:r>
        <w:t xml:space="preserve">Non-renewable electricity consumption: 2.5 kWh/unit * 0.40 = 1.0 kWh/unit</w:t>
      </w:r>
    </w:p>
    <w:p>
      <w:pPr>
        <w:numPr>
          <w:ilvl w:val="0"/>
          <w:numId w:val="1011"/>
        </w:numPr>
        <w:pStyle w:val="Compact"/>
      </w:pPr>
      <w:r>
        <w:t xml:space="preserve">Renewable electricity consumption: 2.5 kWh/unit * 0.60 = 1.5 kWh/unit</w:t>
      </w:r>
    </w:p>
    <w:p>
      <w:pPr>
        <w:numPr>
          <w:ilvl w:val="0"/>
          <w:numId w:val="1011"/>
        </w:numPr>
        <w:pStyle w:val="Compact"/>
      </w:pPr>
      <w:r>
        <w:t xml:space="preserve">Emissions from non-renewable electricity: 1.0 kWh/unit * 0.6 kgCO2e/kWh (China grid EF) = 0.600 kgCO2e</w:t>
      </w:r>
    </w:p>
    <w:p>
      <w:pPr>
        <w:numPr>
          <w:ilvl w:val="0"/>
          <w:numId w:val="1011"/>
        </w:numPr>
        <w:pStyle w:val="Compact"/>
      </w:pPr>
      <w:r>
        <w:t xml:space="preserve">Emissions from renewable electricity: 1.5 kWh/unit * 0.01 kgCO2e/kWh (illustrative low EF for upstream renewable energy) = 0.015 kgCO2e</w:t>
      </w:r>
    </w:p>
    <w:p>
      <w:pPr>
        <w:pStyle w:val="FirstParagraph"/>
      </w:pPr>
      <w:r>
        <w:rPr>
          <w:bCs/>
          <w:b/>
        </w:rPr>
        <w:t xml:space="preserve">Total Scope 2 Emissions: 0.600 + 0.015 = 0.615 kgCO2e</w:t>
      </w:r>
    </w:p>
    <w:bookmarkEnd w:id="33"/>
    <w:bookmarkStart w:id="38" w:name="scope-3-emissions-value-chain-emissions"/>
    <w:p>
      <w:pPr>
        <w:pStyle w:val="Heading4"/>
      </w:pPr>
      <w:r>
        <w:t xml:space="preserve">Scope 3 Emissions: Value Chain Emissions</w:t>
      </w:r>
    </w:p>
    <w:p>
      <w:pPr>
        <w:pStyle w:val="FirstParagraph"/>
      </w:pPr>
      <w:r>
        <w:t xml:space="preserve">Scope 3 emissions represent the most significant portion of the product\'s footprint and are broken down by relevant categories:</w:t>
      </w:r>
    </w:p>
    <w:bookmarkStart w:id="34" w:name="Xab9729a0caae076ca89f2f71668734f92723cf2"/>
    <w:p>
      <w:pPr>
        <w:pStyle w:val="Heading5"/>
      </w:pPr>
      <w:r>
        <w:t xml:space="preserve">Category 1: Purchased goods and services (Materials)</w:t>
      </w:r>
    </w:p>
    <w:p>
      <w:pPr>
        <w:pStyle w:val="FirstParagraph"/>
      </w:pPr>
      <w:r>
        <w:t xml:space="preserve">Calculated based on the detailed Bill of Materials (BOM) using quantities and illustrative industry-average emission factors.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ABS Plastic Casing</w:t>
            </w:r>
          </w:p>
        </w:tc>
        <w:tc>
          <w:tcPr/>
          <w:p>
            <w:pPr>
              <w:pStyle w:val="Compact"/>
              <w:jc w:val="left"/>
            </w:pPr>
            <w:r>
              <w:t xml:space="preserve">0.15</w:t>
            </w:r>
          </w:p>
        </w:tc>
        <w:tc>
          <w:tcPr/>
          <w:p>
            <w:pPr>
              <w:pStyle w:val="Compact"/>
              <w:jc w:val="left"/>
            </w:pPr>
            <w:r>
              <w:t xml:space="preserve">3.1</w:t>
            </w:r>
          </w:p>
        </w:tc>
        <w:tc>
          <w:tcPr/>
          <w:p>
            <w:pPr>
              <w:pStyle w:val="Compact"/>
              <w:jc w:val="left"/>
            </w:pPr>
            <w:r>
              <w:t xml:space="preserve">0.465</w:t>
            </w:r>
          </w:p>
        </w:tc>
      </w:tr>
      <w:tr>
        <w:tc>
          <w:tcPr/>
          <w:p>
            <w:pPr>
              <w:pStyle w:val="Compact"/>
              <w:jc w:val="left"/>
            </w:pPr>
            <w:r>
              <w:t xml:space="preserve">Lithium-ion Battery</w:t>
            </w:r>
          </w:p>
        </w:tc>
        <w:tc>
          <w:tcPr/>
          <w:p>
            <w:pPr>
              <w:pStyle w:val="Compact"/>
              <w:jc w:val="left"/>
            </w:pPr>
            <w:r>
              <w:t xml:space="preserve">0.05</w:t>
            </w:r>
          </w:p>
        </w:tc>
        <w:tc>
          <w:tcPr/>
          <w:p>
            <w:pPr>
              <w:pStyle w:val="Compact"/>
              <w:jc w:val="left"/>
            </w:pPr>
            <w:r>
              <w:t xml:space="preserve">15.2</w:t>
            </w:r>
          </w:p>
        </w:tc>
        <w:tc>
          <w:tcPr/>
          <w:p>
            <w:pPr>
              <w:pStyle w:val="Compact"/>
              <w:jc w:val="left"/>
            </w:pPr>
            <w:r>
              <w:t xml:space="preserve">0.760</w:t>
            </w:r>
          </w:p>
        </w:tc>
      </w:tr>
      <w:tr>
        <w:tc>
          <w:tcPr/>
          <w:p>
            <w:pPr>
              <w:pStyle w:val="Compact"/>
              <w:jc w:val="left"/>
            </w:pPr>
            <w:r>
              <w:t xml:space="preserve">PCB (FR4 &amp; Copper)</w:t>
            </w:r>
          </w:p>
        </w:tc>
        <w:tc>
          <w:tcPr/>
          <w:p>
            <w:pPr>
              <w:pStyle w:val="Compact"/>
              <w:jc w:val="left"/>
            </w:pPr>
            <w:r>
              <w:t xml:space="preserve">0.03</w:t>
            </w:r>
          </w:p>
        </w:tc>
        <w:tc>
          <w:tcPr/>
          <w:p>
            <w:pPr>
              <w:pStyle w:val="Compact"/>
              <w:jc w:val="left"/>
            </w:pPr>
            <w:r>
              <w:t xml:space="preserve">8.0*</w:t>
            </w:r>
          </w:p>
        </w:tc>
        <w:tc>
          <w:tcPr/>
          <w:p>
            <w:pPr>
              <w:pStyle w:val="Compact"/>
              <w:jc w:val="left"/>
            </w:pPr>
            <w:r>
              <w:t xml:space="preserve">0.240</w:t>
            </w:r>
          </w:p>
        </w:tc>
      </w:tr>
      <w:tr>
        <w:tc>
          <w:tcPr/>
          <w:p>
            <w:pPr>
              <w:pStyle w:val="Compact"/>
              <w:jc w:val="left"/>
            </w:pPr>
            <w:r>
              <w:t xml:space="preserve">Aluminum Heat Sink</w:t>
            </w:r>
          </w:p>
        </w:tc>
        <w:tc>
          <w:tcPr/>
          <w:p>
            <w:pPr>
              <w:pStyle w:val="Compact"/>
              <w:jc w:val="left"/>
            </w:pPr>
            <w:r>
              <w:t xml:space="preserve">0.02</w:t>
            </w:r>
          </w:p>
        </w:tc>
        <w:tc>
          <w:tcPr/>
          <w:p>
            <w:pPr>
              <w:pStyle w:val="Compact"/>
              <w:jc w:val="left"/>
            </w:pPr>
            <w:r>
              <w:t xml:space="preserve">15.0</w:t>
            </w:r>
          </w:p>
        </w:tc>
        <w:tc>
          <w:tcPr/>
          <w:p>
            <w:pPr>
              <w:pStyle w:val="Compact"/>
              <w:jc w:val="left"/>
            </w:pPr>
            <w:r>
              <w:t xml:space="preserve">0.300</w:t>
            </w:r>
          </w:p>
        </w:tc>
      </w:tr>
      <w:tr>
        <w:tc>
          <w:tcPr/>
          <w:p>
            <w:pPr>
              <w:pStyle w:val="Compact"/>
              <w:jc w:val="left"/>
            </w:pPr>
            <w:r>
              <w:t xml:space="preserve">Steel Screws</w:t>
            </w:r>
          </w:p>
        </w:tc>
        <w:tc>
          <w:tcPr/>
          <w:p>
            <w:pPr>
              <w:pStyle w:val="Compact"/>
              <w:jc w:val="left"/>
            </w:pPr>
            <w:r>
              <w:t xml:space="preserve">0.01</w:t>
            </w:r>
          </w:p>
        </w:tc>
        <w:tc>
          <w:tcPr/>
          <w:p>
            <w:pPr>
              <w:pStyle w:val="Compact"/>
              <w:jc w:val="left"/>
            </w:pPr>
            <w:r>
              <w:t xml:space="preserve">2.5*</w:t>
            </w:r>
          </w:p>
        </w:tc>
        <w:tc>
          <w:tcPr/>
          <w:p>
            <w:pPr>
              <w:pStyle w:val="Compact"/>
              <w:jc w:val="left"/>
            </w:pPr>
            <w:r>
              <w:t xml:space="preserve">0.025</w:t>
            </w:r>
          </w:p>
        </w:tc>
      </w:tr>
      <w:tr>
        <w:tc>
          <w:tcPr/>
          <w:p>
            <w:pPr>
              <w:pStyle w:val="Compact"/>
              <w:jc w:val="left"/>
            </w:pPr>
            <w:r>
              <w:t xml:space="preserve">Cardboard Packaging</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0.100</w:t>
            </w:r>
          </w:p>
        </w:tc>
      </w:tr>
      <w:tr>
        <w:tc>
          <w:tcPr/>
          <w:p>
            <w:pPr>
              <w:pStyle w:val="Compact"/>
              <w:jc w:val="left"/>
            </w:pPr>
            <w:r>
              <w:t xml:space="preserve">User Manual</w:t>
            </w:r>
          </w:p>
        </w:tc>
        <w:tc>
          <w:tcPr/>
          <w:p>
            <w:pPr>
              <w:pStyle w:val="Compact"/>
              <w:jc w:val="left"/>
            </w:pPr>
            <w:r>
              <w:t xml:space="preserve">0.01</w:t>
            </w:r>
          </w:p>
        </w:tc>
        <w:tc>
          <w:tcPr/>
          <w:p>
            <w:pPr>
              <w:pStyle w:val="Compact"/>
              <w:jc w:val="left"/>
            </w:pPr>
            <w:r>
              <w:t xml:space="preserve">1.5*</w:t>
            </w:r>
          </w:p>
        </w:tc>
        <w:tc>
          <w:tcPr/>
          <w:p>
            <w:pPr>
              <w:pStyle w:val="Compact"/>
              <w:jc w:val="left"/>
            </w:pPr>
            <w:r>
              <w:t xml:space="preserve">0.015</w:t>
            </w:r>
          </w:p>
        </w:tc>
      </w:tr>
      <w:tr>
        <w:tc>
          <w:tcPr>
            <w:gridSpan w:val="3"/>
          </w:tcPr>
          <w:p>
            <w:pPr>
              <w:pStyle w:val="Compact"/>
              <w:jc w:val="right"/>
            </w:pPr>
            <w:r>
              <w:t xml:space="preserve">Total Scope 3, Category 1 Emissions:</w:t>
            </w:r>
          </w:p>
        </w:tc>
        <w:tc>
          <w:tcPr/>
          <w:p>
            <w:pPr>
              <w:pStyle w:val="Compact"/>
              <w:jc w:val="left"/>
            </w:pPr>
            <w:r>
              <w:rPr>
                <w:bCs/>
                <w:b/>
              </w:rPr>
              <w:t xml:space="preserve">1.905 kgCO2e</w:t>
            </w:r>
          </w:p>
        </w:tc>
      </w:tr>
    </w:tbl>
    <w:bookmarkEnd w:id="34"/>
    <w:bookmarkStart w:id="35" w:name="X6669a43143349c25ec93e775eebde43de53a73c"/>
    <w:p>
      <w:pPr>
        <w:pStyle w:val="Heading5"/>
      </w:pPr>
      <w:r>
        <w:t xml:space="preserve">Category 4: Upstream transportation and distribution</w:t>
      </w:r>
    </w:p>
    <w:p>
      <w:pPr>
        <w:pStyle w:val="FirstParagraph"/>
      </w:pPr>
      <w:r>
        <w:t xml:space="preserve">Calculated based on the assumed transport modes, distances, and product weight.</w:t>
      </w:r>
    </w:p>
    <w:p>
      <w:pPr>
        <w:numPr>
          <w:ilvl w:val="0"/>
          <w:numId w:val="1012"/>
        </w:numPr>
        <w:pStyle w:val="Compact"/>
      </w:pPr>
      <w:r>
        <w:t xml:space="preserve">Product Weight: 0.37 kg = 0.00037 tonnes</w:t>
      </w:r>
    </w:p>
    <w:p>
      <w:pPr>
        <w:numPr>
          <w:ilvl w:val="0"/>
          <w:numId w:val="1012"/>
        </w:numPr>
        <w:pStyle w:val="Compact"/>
      </w:pPr>
      <w:r>
        <w:t xml:space="preserve">Sea freight (China to Europe): 15,000 km * 0.00037 t * 0.016 kgCO2e/tkm = 0.0888 kgCO2e</w:t>
      </w:r>
    </w:p>
    <w:p>
      <w:pPr>
        <w:numPr>
          <w:ilvl w:val="0"/>
          <w:numId w:val="1012"/>
        </w:numPr>
        <w:pStyle w:val="Compact"/>
      </w:pPr>
      <w:r>
        <w:t xml:space="preserve">Road freight (Intra-Europe): 1,200 km * 0.00037 t * 0.09 kgCO2e/tkm* = 0.03996 kgCO2e</w:t>
      </w:r>
    </w:p>
    <w:p>
      <w:pPr>
        <w:numPr>
          <w:ilvl w:val="0"/>
          <w:numId w:val="1012"/>
        </w:numPr>
        <w:pStyle w:val="Compact"/>
      </w:pPr>
      <w:r>
        <w:t xml:space="preserve">Last-mile delivery: 50 km * 0.00037 t * 0.2 kgCO2e/tkm* = 0.0037 kgCO2e</w:t>
      </w:r>
    </w:p>
    <w:p>
      <w:pPr>
        <w:pStyle w:val="FirstParagraph"/>
      </w:pPr>
      <w:r>
        <w:rPr>
          <w:bCs/>
          <w:b/>
        </w:rPr>
        <w:t xml:space="preserve">Total Scope 3, Category 4 Emissions: 0.0888 + 0.03996 + 0.0037 = 0.13246 kgCO2e</w:t>
      </w:r>
    </w:p>
    <w:bookmarkEnd w:id="35"/>
    <w:bookmarkStart w:id="36" w:name="category-11-use-of-sold-products"/>
    <w:p>
      <w:pPr>
        <w:pStyle w:val="Heading5"/>
      </w:pPr>
      <w:r>
        <w:t xml:space="preserve">Category 11: Use of sold products</w:t>
      </w:r>
    </w:p>
    <w:p>
      <w:pPr>
        <w:pStyle w:val="FirstParagraph"/>
      </w:pPr>
      <w:r>
        <w:t xml:space="preserve">Calculated based on the estimated product lifespan and energy consumption during the use phase.</w:t>
      </w:r>
    </w:p>
    <w:p>
      <w:pPr>
        <w:numPr>
          <w:ilvl w:val="0"/>
          <w:numId w:val="1013"/>
        </w:numPr>
        <w:pStyle w:val="Compact"/>
      </w:pPr>
      <w:r>
        <w:t xml:space="preserve">Product Lifespan (tepoxswssy): 5 years</w:t>
      </w:r>
    </w:p>
    <w:p>
      <w:pPr>
        <w:numPr>
          <w:ilvl w:val="0"/>
          <w:numId w:val="1013"/>
        </w:numPr>
        <w:pStyle w:val="Compact"/>
      </w:pPr>
      <w:r>
        <w:t xml:space="preserve">Annual Energy Consumption: 5 kWh/year (zekowwqohm)</w:t>
      </w:r>
    </w:p>
    <w:p>
      <w:pPr>
        <w:numPr>
          <w:ilvl w:val="0"/>
          <w:numId w:val="1013"/>
        </w:numPr>
        <w:pStyle w:val="Compact"/>
      </w:pPr>
      <w:r>
        <w:t xml:space="preserve">Total energy over lifespan: 5 kWh/year * 5 years = 25 kWh</w:t>
      </w:r>
    </w:p>
    <w:p>
      <w:pPr>
        <w:numPr>
          <w:ilvl w:val="0"/>
          <w:numId w:val="1013"/>
        </w:numPr>
        <w:pStyle w:val="Compact"/>
      </w:pPr>
      <w:r>
        <w:t xml:space="preserve">Emissions: 25 kWh * 0.25 kgCO2e/kWh (European grid EF) = 6.25 kgCO2e</w:t>
      </w:r>
    </w:p>
    <w:p>
      <w:pPr>
        <w:pStyle w:val="FirstParagraph"/>
      </w:pPr>
      <w:r>
        <w:rPr>
          <w:bCs/>
          <w:b/>
        </w:rPr>
        <w:t xml:space="preserve">Total Scope 3, Category 11 Emissions: 6.250 kgCO2e</w:t>
      </w:r>
    </w:p>
    <w:bookmarkEnd w:id="36"/>
    <w:bookmarkStart w:id="37" w:name="X9f66eef2700632e081dfe139021cb724ffcd2c5"/>
    <w:p>
      <w:pPr>
        <w:pStyle w:val="Heading5"/>
      </w:pPr>
      <w:r>
        <w:t xml:space="preserve">Category 12: End-of-life treatment of sold products</w:t>
      </w:r>
    </w:p>
    <w:p>
      <w:pPr>
        <w:pStyle w:val="FirstParagraph"/>
      </w:pPr>
      <w:r>
        <w:t xml:space="preserve">Calculated based on the portion of the product\'s weight that is assumed to be disposed of (not recycled).</w:t>
      </w:r>
    </w:p>
    <w:p>
      <w:pPr>
        <w:numPr>
          <w:ilvl w:val="0"/>
          <w:numId w:val="1014"/>
        </w:numPr>
        <w:pStyle w:val="Compact"/>
      </w:pPr>
      <w:r>
        <w:t xml:space="preserve">Total Product Weight: 0.37 kg</w:t>
      </w:r>
    </w:p>
    <w:p>
      <w:pPr>
        <w:numPr>
          <w:ilvl w:val="0"/>
          <w:numId w:val="1014"/>
        </w:numPr>
        <w:pStyle w:val="Compact"/>
      </w:pPr>
      <w:r>
        <w:t xml:space="preserve">Recyclability Percentage (tdghqlngnf): 70%</w:t>
      </w:r>
    </w:p>
    <w:p>
      <w:pPr>
        <w:numPr>
          <w:ilvl w:val="0"/>
          <w:numId w:val="1014"/>
        </w:numPr>
        <w:pStyle w:val="Compact"/>
      </w:pPr>
      <w:r>
        <w:t xml:space="preserve">Weight disposed (unrecycled): 0.37 kg * (1 - 0.70) = 0.111 kg</w:t>
      </w:r>
    </w:p>
    <w:p>
      <w:pPr>
        <w:numPr>
          <w:ilvl w:val="0"/>
          <w:numId w:val="1014"/>
        </w:numPr>
        <w:pStyle w:val="Compact"/>
      </w:pPr>
      <w:r>
        <w:t xml:space="preserve">Disposal Emissions: 0.111 kg * 0.05 kgCO2e/kg (illustrative disposal EF) = 0.00555 kgCO2e</w:t>
      </w:r>
    </w:p>
    <w:p>
      <w:pPr>
        <w:pStyle w:val="FirstParagraph"/>
      </w:pPr>
      <w:r>
        <w:rPr>
          <w:bCs/>
          <w:b/>
        </w:rPr>
        <w:t xml:space="preserve">Total Scope 3, Category 12 Emissions (from disposal): 0.006 kgCO2e</w:t>
      </w:r>
    </w:p>
    <w:bookmarkEnd w:id="37"/>
    <w:bookmarkEnd w:id="38"/>
    <w:bookmarkEnd w:id="39"/>
    <w:bookmarkStart w:id="40" w:name="ghg-protocol-2026-lsr-update"/>
    <w:p>
      <w:pPr>
        <w:pStyle w:val="Heading3"/>
      </w:pPr>
      <w:r>
        <w:t xml:space="preserve">GHG Protocol 2026 LSR Update</w:t>
      </w:r>
    </w:p>
    <w:p>
      <w:pPr>
        <w:pStyle w:val="FirstParagraph"/>
      </w:pPr>
      <w:r>
        <w:t xml:space="preserve">The Land Sector and Removals (LSR) Standard, effective January 1, 2027, provides guidance for accounting for land emissions, CO2 removals, and biogenic products. For szzqzrlezs, a primarily electronic device, the direct application of the LSR Standard is limited as no significant biogenic materials (e.g., wood, cotton) or land-use change impacts were identified in the illustrative Bill of Materials. However, thtwodhdhy would need to apply this standard if any future product designs or supply chain activities involve significant land-related emissions or removals.</w:t>
      </w:r>
    </w:p>
    <w:bookmarkEnd w:id="40"/>
    <w:bookmarkStart w:id="41" w:name="scope-3-compliance-95-coverage"/>
    <w:p>
      <w:pPr>
        <w:pStyle w:val="Heading3"/>
      </w:pPr>
      <w:r>
        <w:t xml:space="preserve">Scope 3 Compliance (95% Coverage)</w:t>
      </w:r>
    </w:p>
    <w:p>
      <w:pPr>
        <w:pStyle w:val="FirstParagraph"/>
      </w:pPr>
      <w:r>
        <w:t xml:space="preserve">As per the GHG Protocol 2026 requirements, companies must account for at least 95% of total relevant Scope 3 emissions to claim conformance. This analysis has focused on the most material Scope 3 categories for a product PCF (Purchased Goods and Services, Upstream Transportation, Use of Sold Products, and End-of-Life Treatment), which typically constitute the vast majority of a product\'s value chain footprint, thus aiming to meet the spirit of the 95% coverage requirement. Full compliance would necessitate a detailed assessment of all 15 (or potentially 16 with the new category) Scope 3 categories and disaggregation of data by source type (primary vs. secondary).</w:t>
      </w:r>
    </w:p>
    <w:bookmarkEnd w:id="41"/>
    <w:bookmarkEnd w:id="42"/>
    <w:p>
      <w:r>
        <w:pict>
          <v:rect style="width:0;height:1.5pt" o:hralign="center" o:hrstd="t" o:hr="t"/>
        </w:pict>
      </w:r>
    </w:p>
    <w:bookmarkStart w:id="46" w:name="review-report"/>
    <w:p>
      <w:pPr>
        <w:pStyle w:val="Heading2"/>
      </w:pPr>
      <w:r>
        <w:t xml:space="preserve">5. Review &amp; Report</w:t>
      </w:r>
    </w:p>
    <w:bookmarkStart w:id="43" w:name="carbon-hotspots"/>
    <w:p>
      <w:pPr>
        <w:pStyle w:val="Heading3"/>
      </w:pPr>
      <w:r>
        <w:t xml:space="preserve">Carbon Hotspots</w:t>
      </w:r>
    </w:p>
    <w:p>
      <w:pPr>
        <w:pStyle w:val="FirstParagraph"/>
      </w:pPr>
      <w:r>
        <w:t xml:space="preserve">The analysis reveals the following carbon hotspots for szzqzrlezs:</w:t>
      </w:r>
    </w:p>
    <w:p>
      <w:pPr>
        <w:numPr>
          <w:ilvl w:val="0"/>
          <w:numId w:val="1015"/>
        </w:numPr>
        <w:pStyle w:val="Compact"/>
      </w:pPr>
      <w:r>
        <w:rPr>
          <w:bCs/>
          <w:b/>
        </w:rPr>
        <w:t xml:space="preserve">Use Phase (6.25 kgCO2e):</w:t>
      </w:r>
      <w:r>
        <w:t xml:space="preserve"> </w:t>
      </w:r>
      <w:r>
        <w:t xml:space="preserve">This is by far the largest contributor (approximately 70% of the total PCF). This is common for electronic devices and highlights that consumer energy consumption over the product\'s lifespan is critical.</w:t>
      </w:r>
    </w:p>
    <w:p>
      <w:pPr>
        <w:numPr>
          <w:ilvl w:val="0"/>
          <w:numId w:val="1015"/>
        </w:numPr>
        <w:pStyle w:val="Compact"/>
      </w:pPr>
      <w:r>
        <w:rPr>
          <w:bCs/>
          <w:b/>
        </w:rPr>
        <w:t xml:space="preserve">Raw Materials (1.91 kgCO2e):</w:t>
      </w:r>
      <w:r>
        <w:t xml:space="preserve"> </w:t>
      </w:r>
      <w:r>
        <w:t xml:space="preserve">Materials, particularly the Lithium-ion battery and Aluminum heat sink, represent the second largest impact (approximately 21%), emphasizing the importance of material selection and design for circularity.</w:t>
      </w:r>
    </w:p>
    <w:p>
      <w:pPr>
        <w:numPr>
          <w:ilvl w:val="0"/>
          <w:numId w:val="1015"/>
        </w:numPr>
        <w:pStyle w:val="Compact"/>
      </w:pPr>
      <w:r>
        <w:rPr>
          <w:bCs/>
          <w:b/>
        </w:rPr>
        <w:t xml:space="preserve">Production (0.62 kgCO2e):</w:t>
      </w:r>
      <w:r>
        <w:t xml:space="preserve"> </w:t>
      </w:r>
      <w:r>
        <w:t xml:space="preserve">The manufacturing energy footprint (approximately 7%) is notable, despite significant renewable energy usage.</w:t>
      </w:r>
    </w:p>
    <w:p>
      <w:pPr>
        <w:numPr>
          <w:ilvl w:val="0"/>
          <w:numId w:val="1015"/>
        </w:numPr>
        <w:pStyle w:val="Compact"/>
      </w:pPr>
      <w:r>
        <w:rPr>
          <w:bCs/>
          <w:b/>
        </w:rPr>
        <w:t xml:space="preserve">Transport (0.13 kgCO2e) and End-of-Life (0.01 kgCO2e):</w:t>
      </w:r>
      <w:r>
        <w:t xml:space="preserve"> </w:t>
      </w:r>
      <w:r>
        <w:t xml:space="preserve">These stages contribute a smaller, but still relevant, portion of the total footprint.</w:t>
      </w:r>
    </w:p>
    <w:bookmarkEnd w:id="43"/>
    <w:bookmarkStart w:id="44" w:name="reliability-and-limitations"/>
    <w:p>
      <w:pPr>
        <w:pStyle w:val="Heading3"/>
      </w:pPr>
      <w:r>
        <w:t xml:space="preserve">Reliability and Limitations</w:t>
      </w:r>
    </w:p>
    <w:p>
      <w:pPr>
        <w:pStyle w:val="FirstParagraph"/>
      </w:pPr>
      <w:r>
        <w:t xml:space="preserve">The reliability of this report is considered moderate to high, based on the adherence to the GHG Protocol and the use of widely accepted industry-average emission factors (e.g., from Ecoinvent/DEFRA). However, certain limitations exist:</w:t>
      </w:r>
    </w:p>
    <w:p>
      <w:pPr>
        <w:numPr>
          <w:ilvl w:val="0"/>
          <w:numId w:val="1016"/>
        </w:numPr>
        <w:pStyle w:val="Compact"/>
      </w:pPr>
      <w:r>
        <w:rPr>
          <w:bCs/>
          <w:b/>
        </w:rPr>
        <w:t xml:space="preserve">Illustrative Data:</w:t>
      </w:r>
      <w:r>
        <w:t xml:space="preserve"> </w:t>
      </w:r>
      <w:r>
        <w:t xml:space="preserve">Several parameters (BOM specifics, transport distances, energy consumption, recyclability) were provided as placeholders and required the use of illustrative, yet well-reasoned, values. Real-world primary data would enhance accuracy significantly.</w:t>
      </w:r>
    </w:p>
    <w:p>
      <w:pPr>
        <w:numPr>
          <w:ilvl w:val="0"/>
          <w:numId w:val="1016"/>
        </w:numPr>
        <w:pStyle w:val="Compact"/>
      </w:pPr>
      <w:r>
        <w:rPr>
          <w:bCs/>
          <w:b/>
        </w:rPr>
        <w:t xml:space="preserve">Emission Factor Specificity:</w:t>
      </w:r>
      <w:r>
        <w:t xml:space="preserve"> </w:t>
      </w:r>
      <w:r>
        <w:t xml:space="preserve">While industry-standard factors are used, they represent averages. Supplier-specific emission factors for materials and processes would provide a more precise calculation.</w:t>
      </w:r>
    </w:p>
    <w:p>
      <w:pPr>
        <w:numPr>
          <w:ilvl w:val="0"/>
          <w:numId w:val="1016"/>
        </w:numPr>
        <w:pStyle w:val="Compact"/>
      </w:pPr>
      <w:r>
        <w:rPr>
          <w:bCs/>
          <w:b/>
        </w:rPr>
        <w:t xml:space="preserve">Scope 3 Completeness:</w:t>
      </w:r>
      <w:r>
        <w:t xml:space="preserve"> </w:t>
      </w:r>
      <w:r>
        <w:t xml:space="preserve">Although key categories are covered, a comprehensive assessment of all 15 (or 16) Scope 3 categories with primary data disaggregation would be necessary for full 2026 GHG Protocol compliance.</w:t>
      </w:r>
    </w:p>
    <w:p>
      <w:pPr>
        <w:numPr>
          <w:ilvl w:val="0"/>
          <w:numId w:val="1016"/>
        </w:numPr>
        <w:pStyle w:val="Compact"/>
      </w:pPr>
      <w:r>
        <w:rPr>
          <w:bCs/>
          <w:b/>
        </w:rPr>
        <w:t xml:space="preserve">LSR Standard Application:</w:t>
      </w:r>
      <w:r>
        <w:t xml:space="preserve"> </w:t>
      </w:r>
      <w:r>
        <w:t xml:space="preserve">Given the nature of szzqzrlezs, the LSR Standard for land use and carbon removals has been acknowledged but not applied in detail due to the absence of relevant biogenic materials in the illustrative BOM.</w:t>
      </w:r>
    </w:p>
    <w:bookmarkEnd w:id="44"/>
    <w:bookmarkStart w:id="45" w:name="recommendations-for-thtwodhdhy"/>
    <w:p>
      <w:pPr>
        <w:pStyle w:val="Heading3"/>
      </w:pPr>
      <w:r>
        <w:t xml:space="preserve">Recommendations for thtwodhdhy</w:t>
      </w:r>
    </w:p>
    <w:p>
      <w:pPr>
        <w:numPr>
          <w:ilvl w:val="0"/>
          <w:numId w:val="1017"/>
        </w:numPr>
        <w:pStyle w:val="Compact"/>
      </w:pPr>
      <w:r>
        <w:rPr>
          <w:bCs/>
          <w:b/>
        </w:rPr>
        <w:t xml:space="preserve">Use Phase Optimization:</w:t>
      </w:r>
      <w:r>
        <w:t xml:space="preserve"> </w:t>
      </w:r>
      <w:r>
        <w:t xml:space="preserve">Investigate opportunities to reduce energy consumption during the product\'s use phase, potentially through more energy-efficient design, software updates, or user guidance.</w:t>
      </w:r>
    </w:p>
    <w:p>
      <w:pPr>
        <w:numPr>
          <w:ilvl w:val="0"/>
          <w:numId w:val="1017"/>
        </w:numPr>
        <w:pStyle w:val="Compact"/>
      </w:pPr>
      <w:r>
        <w:rPr>
          <w:bCs/>
          <w:b/>
        </w:rPr>
        <w:t xml:space="preserve">Supply Chain Engagement:</w:t>
      </w:r>
      <w:r>
        <w:t xml:space="preserve"> </w:t>
      </w:r>
      <w:r>
        <w:t xml:space="preserve">Work with key suppliers to collect primary emission data for BOM materials and transport, reducing reliance on secondary data and improving Scope 3 reporting accuracy.</w:t>
      </w:r>
    </w:p>
    <w:p>
      <w:pPr>
        <w:numPr>
          <w:ilvl w:val="0"/>
          <w:numId w:val="1017"/>
        </w:numPr>
        <w:pStyle w:val="Compact"/>
      </w:pPr>
      <w:r>
        <w:rPr>
          <w:bCs/>
          <w:b/>
        </w:rPr>
        <w:t xml:space="preserve">Circular Economy Integration:</w:t>
      </w:r>
      <w:r>
        <w:t xml:space="preserve"> </w:t>
      </w:r>
      <w:r>
        <w:t xml:space="preserve">Enhance circular programs (ygutzvzssj) to maximize recycling (tdghqlngnf) and material recovery, exploring innovative design for disassembly and material reuse.</w:t>
      </w:r>
    </w:p>
    <w:p>
      <w:pPr>
        <w:numPr>
          <w:ilvl w:val="0"/>
          <w:numId w:val="1017"/>
        </w:numPr>
        <w:pStyle w:val="Compact"/>
      </w:pPr>
      <w:r>
        <w:rPr>
          <w:bCs/>
          <w:b/>
        </w:rPr>
        <w:t xml:space="preserve">Renewable Energy Expansion:</w:t>
      </w:r>
      <w:r>
        <w:t xml:space="preserve"> </w:t>
      </w:r>
      <w:r>
        <w:t xml:space="preserve">Continue to increase renewable energy procurement at manufacturing facilities beyond the current oeprwxnvzl percentage.</w:t>
      </w:r>
    </w:p>
    <w:p>
      <w:pPr>
        <w:numPr>
          <w:ilvl w:val="0"/>
          <w:numId w:val="1017"/>
        </w:numPr>
        <w:pStyle w:val="Compact"/>
      </w:pPr>
      <w:r>
        <w:rPr>
          <w:bCs/>
          <w:b/>
        </w:rPr>
        <w:t xml:space="preserve">Further Data Collection:</w:t>
      </w:r>
      <w:r>
        <w:t xml:space="preserve"> </w:t>
      </w:r>
      <w:r>
        <w:t xml:space="preserve">Prioritize collecting primary data for high-impact areas identified (e.g., battery and aluminum production) to refine future PCF assessments.</w:t>
      </w:r>
    </w:p>
    <w:bookmarkEnd w:id="45"/>
    <w:bookmarkEnd w:id="46"/>
    <w:p>
      <w:r>
        <w:pict>
          <v:rect style="width:0;height:1.5pt" o:hralign="center" o:hrstd="t" o:hr="t"/>
        </w:pict>
      </w:r>
    </w:p>
    <w:p>
      <w:pPr>
        <w:pStyle w:val="FirstParagraph"/>
      </w:pPr>
      <w:r>
        <w:t xml:space="preserve">© 2026 thtwodhdhy. All rights reserved. | 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szzqzrlezs</dc:title>
  <dc:creator/>
  <dc:description>High-detail Product Carbon Footprint (PCF) analysis report for szzqzrlezs, adhering to GHG Protocol standards and 2026 updates.</dc:description>
  <dc:language>en</dc:language>
  <cp:keywords/>
  <dcterms:created xsi:type="dcterms:W3CDTF">2026-07-15T18:01:18Z</dcterms:created>
  <dcterms:modified xsi:type="dcterms:W3CDTF">2026-07-15T18:01:18Z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