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szwryizeks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szwryizeks</w:t>
      </w:r>
    </w:p>
    <w:p>
      <w:pPr>
        <w:pStyle w:val="BodyText"/>
      </w:pPr>
      <w:r>
        <w:rPr>
          <w:bCs/>
          <w:b/>
        </w:rPr>
        <w:t xml:space="preserve">Company:</w:t>
      </w:r>
      <w:r>
        <w:t xml:space="preserve"> </w:t>
      </w:r>
      <w:r>
        <w:t xml:space="preserve">eeixkjsipu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pikkszmjis</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21" w:name="X7b63eaa9bb85b99bb940d4ae1e9822543af6383"/>
    <w:p>
      <w:pPr>
        <w:pStyle w:val="Heading1"/>
      </w:pPr>
      <w:r>
        <w:t xml:space="preserve">Product Carbon Footprint Analysis for szwryizeks</w:t>
      </w:r>
    </w:p>
    <w:p>
      <w:pPr>
        <w:pStyle w:val="FirstParagraph"/>
      </w:pPr>
      <w:r>
        <w:t xml:space="preserve">Generated Date: May 21, 2026</w:t>
      </w:r>
    </w:p>
    <w:p>
      <w:pPr>
        <w:pStyle w:val="BodyText"/>
      </w:pPr>
      <w:r>
        <w:t xml:space="preserve">Senior Sustainability Consultant: pikkszmjis</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\'szwryizeks\', manufactured by eeixkjsipu. The analysis adheres strictly to the GHG Protocol standards, including the 2026 Land Sector and Removals (LSR) Update. The functional unit for this study is 1.0 unit of szwryizeks, assessed on a cradle-to-grave basis, encompassing raw material acquisition, manufacturing, transportation, use phase, and end-of-life treatment. The primary production is located in China, with a supply chain focus on Europe. Key insights include significant emissions from the use phase due to energy consumption and the impact of material choices. The total estimated Product Carbon Footprint for one unit of szwryizeks is approximately 47.34 kg CO2e.</w:t>
      </w:r>
    </w:p>
    <w:p>
      <w:r>
        <w:pict>
          <v:rect style="width:0;height:1.5pt" o:hralign="center" o:hrstd="t" o:hr="t"/>
        </w:pict>
      </w:r>
    </w:p>
    <w:bookmarkEnd w:id="22"/>
    <w:bookmarkStart w:id="32" w:name="methodology"/>
    <w:p>
      <w:pPr>
        <w:pStyle w:val="Heading2"/>
      </w:pPr>
      <w:r>
        <w:t xml:space="preserve">2. Methodology</w:t>
      </w:r>
    </w:p>
    <w:p>
      <w:pPr>
        <w:pStyle w:val="FirstParagraph"/>
      </w:pPr>
      <w:r>
        <w:t xml:space="preserve">The Product Carbon Footprint (PCF) analysis was conducted following a five-step methodology in accordance with the GHG Protocol.</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szwryizeks.</w:t>
      </w:r>
    </w:p>
    <w:p>
      <w:pPr>
        <w:numPr>
          <w:ilvl w:val="0"/>
          <w:numId w:val="1001"/>
        </w:numPr>
        <w:pStyle w:val="Compact"/>
      </w:pPr>
      <w:r>
        <w:rPr>
          <w:bCs/>
          <w:b/>
        </w:rPr>
        <w:t xml:space="preserve">System Boundary:</w:t>
      </w:r>
      <w:r>
        <w:t xml:space="preserve"> </w:t>
      </w:r>
      <w:r>
        <w:t xml:space="preserve">Cradle-to-grave, covering raw material extraction and pre-processing, manufacturing, transportation, use phase, and end-of-life treatment. While the factory_gate parameter was specified as a primary data collection boundary, the full lifecycle was analyzed as per the detailed requirements for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sourcing of components from Europe to the manufacturing facility in China, and subsequently global distribution for the use and end-of-life phases.</w:t>
      </w:r>
    </w:p>
    <w:p>
      <w:pPr>
        <w:numPr>
          <w:ilvl w:val="0"/>
          <w:numId w:val="1001"/>
        </w:numPr>
        <w:pStyle w:val="Compact"/>
      </w:pPr>
      <w:r>
        <w:rPr>
          <w:bCs/>
          <w:b/>
        </w:rPr>
        <w:t xml:space="preserve">Accounting Standard:</w:t>
      </w:r>
      <w:r>
        <w:t xml:space="preserve"> </w:t>
      </w:r>
      <w:r>
        <w:t xml:space="preserve">GHG Protocol, with explicit consideration for the 2026 Land Sector and Removals (LSR) Standard.</w:t>
      </w:r>
    </w:p>
    <w:p>
      <w:pPr>
        <w:numPr>
          <w:ilvl w:val="0"/>
          <w:numId w:val="1001"/>
        </w:numPr>
        <w:pStyle w:val="Compact"/>
      </w:pPr>
      <w:r>
        <w:rPr>
          <w:bCs/>
          <w:b/>
        </w:rPr>
        <w:t xml:space="preserve">Allocation:</w:t>
      </w:r>
      <w:r>
        <w:t xml:space="preserve"> </w:t>
      </w:r>
      <w:r>
        <w:t xml:space="preserve">Mass-based allocation was considered for multi-functional processes, though not directly applied in this single-product PCF.</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szwryizeks was mapped through the following stages:</w:t>
      </w:r>
    </w:p>
    <w:p>
      <w:pPr>
        <w:numPr>
          <w:ilvl w:val="0"/>
          <w:numId w:val="1002"/>
        </w:numPr>
        <w:pStyle w:val="Compact"/>
      </w:pPr>
      <w:r>
        <w:rPr>
          <w:bCs/>
          <w:b/>
        </w:rPr>
        <w:t xml:space="preserve">Raw Material Acquisition &amp; Pre-processing (Upstream):</w:t>
      </w:r>
      <w:r>
        <w:t xml:space="preserve"> </w:t>
      </w:r>
      <w:r>
        <w:t xml:space="preserve">Extraction and initial processing of all materials listed in the Bill of Materials (BOM).</w:t>
      </w:r>
    </w:p>
    <w:p>
      <w:pPr>
        <w:numPr>
          <w:ilvl w:val="0"/>
          <w:numId w:val="1002"/>
        </w:numPr>
        <w:pStyle w:val="Compact"/>
      </w:pPr>
      <w:r>
        <w:rPr>
          <w:bCs/>
          <w:b/>
        </w:rPr>
        <w:t xml:space="preserve">Manufacturing (Core Production):</w:t>
      </w:r>
      <w:r>
        <w:t xml:space="preserve"> </w:t>
      </w:r>
      <w:r>
        <w:t xml:space="preserve">Assembly and production processes at the eeixkjsipu facility in China.</w:t>
      </w:r>
    </w:p>
    <w:p>
      <w:pPr>
        <w:numPr>
          <w:ilvl w:val="0"/>
          <w:numId w:val="1002"/>
        </w:numPr>
        <w:pStyle w:val="Compact"/>
      </w:pPr>
      <w:r>
        <w:rPr>
          <w:bCs/>
          <w:b/>
        </w:rPr>
        <w:t xml:space="preserve">Transportation (Upstream &amp; Downstream):</w:t>
      </w:r>
      <w:r>
        <w:t xml:space="preserve"> </w:t>
      </w:r>
      <w:r>
        <w:t xml:space="preserve">Logistics for bringing raw materials and components from Europe to the China factory, and transportation for last-mile delivery to the end-user.</w:t>
      </w:r>
    </w:p>
    <w:p>
      <w:pPr>
        <w:numPr>
          <w:ilvl w:val="0"/>
          <w:numId w:val="1002"/>
        </w:numPr>
        <w:pStyle w:val="Compact"/>
      </w:pPr>
      <w:r>
        <w:rPr>
          <w:bCs/>
          <w:b/>
        </w:rPr>
        <w:t xml:space="preserve">Use Phase:</w:t>
      </w:r>
      <w:r>
        <w:t xml:space="preserve"> </w:t>
      </w:r>
      <w:r>
        <w:t xml:space="preserve">Energy consumption by the product during its specified lifespan.</w:t>
      </w:r>
    </w:p>
    <w:p>
      <w:pPr>
        <w:numPr>
          <w:ilvl w:val="0"/>
          <w:numId w:val="1002"/>
        </w:numPr>
        <w:pStyle w:val="Compact"/>
      </w:pPr>
      <w:r>
        <w:rPr>
          <w:bCs/>
          <w:b/>
        </w:rPr>
        <w:t xml:space="preserve">End-of-Life (EoL):</w:t>
      </w:r>
      <w:r>
        <w:t xml:space="preserve"> </w:t>
      </w:r>
      <w:r>
        <w:t xml:space="preserve">Disposal and treatment scenarios, including recycling and waste management.</w:t>
      </w:r>
    </w:p>
    <w:bookmarkEnd w:id="24"/>
    <w:bookmarkStart w:id="31" w:name="X46460218b75090116924b5e02e281dcf8597f63"/>
    <w:p>
      <w:pPr>
        <w:pStyle w:val="Heading3"/>
      </w:pPr>
      <w:r>
        <w:t xml:space="preserve">2.3. Step 3: Collect Data (Primary/Secondary Data Points)</w:t>
      </w:r>
    </w:p>
    <w:p>
      <w:pPr>
        <w:pStyle w:val="FirstParagraph"/>
      </w:pPr>
      <w:r>
        <w:t xml:space="preserve">Data was collected from both primary (provided parameters) and secondary (industry-standard emission factors) sources.</w:t>
      </w:r>
    </w:p>
    <w:bookmarkStart w:id="25" w:name="X19e2e6a534344b1abda6f7b934445f31e41288a"/>
    <w:p>
      <w:pPr>
        <w:pStyle w:val="Heading4"/>
      </w:pPr>
      <w:r>
        <w:t xml:space="preserve">Detailed Bill of Materials (BOM) - mwlnsdnv</w:t>
      </w:r>
    </w:p>
    <w:p>
      <w:pPr>
        <w:pStyle w:val="FirstParagraph"/>
      </w:pPr>
      <w:r>
        <w:t xml:space="preserve">The following Bill of Materials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Total Material Carbon Impact:</w:t>
            </w:r>
          </w:p>
        </w:tc>
        <w:tc>
          <w:tcPr/>
          <w:p>
            <w:pPr>
              <w:pStyle w:val="Compact"/>
              <w:jc w:val="left"/>
            </w:pPr>
            <w:r>
              <w:rPr>
                <w:bCs/>
                <w:b/>
              </w:rPr>
              <w:t xml:space="preserve">7.29</w:t>
            </w:r>
          </w:p>
        </w:tc>
      </w:tr>
    </w:tbl>
    <w:bookmarkEnd w:id="25"/>
    <w:bookmarkStart w:id="26" w:name="energy-inputs-for-production"/>
    <w:p>
      <w:pPr>
        <w:pStyle w:val="Heading4"/>
      </w:pPr>
      <w:r>
        <w:t xml:space="preserve">Energy Inputs for Production</w:t>
      </w:r>
    </w:p>
    <w:p>
      <w:pPr>
        <w:numPr>
          <w:ilvl w:val="0"/>
          <w:numId w:val="1003"/>
        </w:numPr>
        <w:pStyle w:val="Compact"/>
      </w:pPr>
      <w:r>
        <w:rPr>
          <w:bCs/>
          <w:b/>
        </w:rPr>
        <w:t xml:space="preserve">Renewable Energy Usage (ldtghprqip):</w:t>
      </w:r>
      <w:r>
        <w:t xml:space="preserve"> </w:t>
      </w:r>
      <w:r>
        <w:t xml:space="preserve">70%</w:t>
      </w:r>
    </w:p>
    <w:p>
      <w:pPr>
        <w:numPr>
          <w:ilvl w:val="0"/>
          <w:numId w:val="1003"/>
        </w:numPr>
        <w:pStyle w:val="Compact"/>
      </w:pPr>
      <w:r>
        <w:rPr>
          <w:bCs/>
          <w:b/>
        </w:rPr>
        <w:t xml:space="preserve">Energy Intensity (kWh/unit) (iogdmvhnnm):</w:t>
      </w:r>
      <w:r>
        <w:t xml:space="preserve"> </w:t>
      </w:r>
      <w:r>
        <w:t xml:space="preserve">5.0 kWh/unit</w:t>
      </w:r>
    </w:p>
    <w:bookmarkEnd w:id="26"/>
    <w:bookmarkStart w:id="27" w:name="logistics-data"/>
    <w:p>
      <w:pPr>
        <w:pStyle w:val="Heading4"/>
      </w:pPr>
      <w:r>
        <w:t xml:space="preserve">Logistics Data</w:t>
      </w:r>
    </w:p>
    <w:p>
      <w:pPr>
        <w:numPr>
          <w:ilvl w:val="0"/>
          <w:numId w:val="1004"/>
        </w:numPr>
        <w:pStyle w:val="Compact"/>
      </w:pPr>
      <w:r>
        <w:rPr>
          <w:bCs/>
          <w:b/>
        </w:rPr>
        <w:t xml:space="preserve">Transport Mode (Upstream):</w:t>
      </w:r>
      <w:r>
        <w:t xml:space="preserve"> </w:t>
      </w:r>
      <w:r>
        <w:t xml:space="preserve">Road freight (HGV &gt; 16t)</w:t>
      </w:r>
    </w:p>
    <w:p>
      <w:pPr>
        <w:numPr>
          <w:ilvl w:val="0"/>
          <w:numId w:val="1004"/>
        </w:numPr>
        <w:pStyle w:val="Compact"/>
      </w:pPr>
      <w:r>
        <w:rPr>
          <w:bCs/>
          <w:b/>
        </w:rPr>
        <w:t xml:space="preserve">Transport Distance (rrweiiwmzh):</w:t>
      </w:r>
      <w:r>
        <w:t xml:space="preserve"> </w:t>
      </w:r>
      <w:r>
        <w:t xml:space="preserve">1500 km (illustrative for major components from Europe to China)</w:t>
      </w:r>
    </w:p>
    <w:p>
      <w:pPr>
        <w:numPr>
          <w:ilvl w:val="0"/>
          <w:numId w:val="1004"/>
        </w:numPr>
        <w:pStyle w:val="Compact"/>
      </w:pPr>
      <w:r>
        <w:rPr>
          <w:bCs/>
          <w:b/>
        </w:rPr>
        <w:t xml:space="preserve">Last-Mile Delivery Channel (Delivery Type):</w:t>
      </w:r>
      <w:r>
        <w:t xml:space="preserve"> </w:t>
      </w:r>
      <w:r>
        <w:t xml:space="preserve">Light Commercial Vehicle (LCV)</w:t>
      </w:r>
    </w:p>
    <w:p>
      <w:pPr>
        <w:numPr>
          <w:ilvl w:val="0"/>
          <w:numId w:val="1004"/>
        </w:numPr>
        <w:pStyle w:val="Compact"/>
      </w:pPr>
      <w:r>
        <w:rPr>
          <w:bCs/>
          <w:b/>
        </w:rPr>
        <w:t xml:space="preserve">Last-Mile Distance (illustrative):</w:t>
      </w:r>
      <w:r>
        <w:t xml:space="preserve"> </w:t>
      </w:r>
      <w:r>
        <w:t xml:space="preserve">50 km</w:t>
      </w:r>
    </w:p>
    <w:bookmarkEnd w:id="27"/>
    <w:bookmarkStart w:id="28" w:name="use-phase-data"/>
    <w:p>
      <w:pPr>
        <w:pStyle w:val="Heading4"/>
      </w:pPr>
      <w:r>
        <w:t xml:space="preserve">Use Phase Data</w:t>
      </w:r>
    </w:p>
    <w:p>
      <w:pPr>
        <w:numPr>
          <w:ilvl w:val="0"/>
          <w:numId w:val="1005"/>
        </w:numPr>
        <w:pStyle w:val="Compact"/>
      </w:pPr>
      <w:r>
        <w:rPr>
          <w:bCs/>
          <w:b/>
        </w:rPr>
        <w:t xml:space="preserve">Product Lifespan (enehjsswvi):</w:t>
      </w:r>
      <w:r>
        <w:t xml:space="preserve"> </w:t>
      </w:r>
      <w:r>
        <w:t xml:space="preserve">5 years</w:t>
      </w:r>
    </w:p>
    <w:p>
      <w:pPr>
        <w:numPr>
          <w:ilvl w:val="0"/>
          <w:numId w:val="1005"/>
        </w:numPr>
        <w:pStyle w:val="Compact"/>
      </w:pPr>
      <w:r>
        <w:rPr>
          <w:bCs/>
          <w:b/>
        </w:rPr>
        <w:t xml:space="preserve">Energy Consumption in Use (kfpxkdznri):</w:t>
      </w:r>
      <w:r>
        <w:t xml:space="preserve"> </w:t>
      </w:r>
      <w:r>
        <w:t xml:space="preserve">20 kWh/year</w:t>
      </w:r>
    </w:p>
    <w:bookmarkEnd w:id="28"/>
    <w:bookmarkStart w:id="29" w:name="end-of-life-eol-scenarios"/>
    <w:p>
      <w:pPr>
        <w:pStyle w:val="Heading4"/>
      </w:pPr>
      <w:r>
        <w:t xml:space="preserve">End-of-Life (EoL) Scenarios</w:t>
      </w:r>
    </w:p>
    <w:p>
      <w:pPr>
        <w:numPr>
          <w:ilvl w:val="0"/>
          <w:numId w:val="1006"/>
        </w:numPr>
        <w:pStyle w:val="Compact"/>
      </w:pPr>
      <w:r>
        <w:rPr>
          <w:bCs/>
          <w:b/>
        </w:rPr>
        <w:t xml:space="preserve">Recyclability Percentage (rzpxzewpqn):</w:t>
      </w:r>
      <w:r>
        <w:t xml:space="preserve"> </w:t>
      </w:r>
      <w:r>
        <w:t xml:space="preserve">80%</w:t>
      </w:r>
    </w:p>
    <w:p>
      <w:pPr>
        <w:numPr>
          <w:ilvl w:val="0"/>
          <w:numId w:val="1006"/>
        </w:numPr>
        <w:pStyle w:val="Compact"/>
      </w:pPr>
      <w:r>
        <w:rPr>
          <w:bCs/>
          <w:b/>
        </w:rPr>
        <w:t xml:space="preserve">Circular/Take-back Programs (vhxgqvfifo):</w:t>
      </w:r>
      <w:r>
        <w:t xml:space="preserve"> </w:t>
      </w:r>
      <w:r>
        <w:t xml:space="preserve">Established program with 10% return rate (qualitative impact on resource efficiency, quantitatively integrated into recyclability where applicable).</w:t>
      </w:r>
    </w:p>
    <w:bookmarkEnd w:id="29"/>
    <w:bookmarkStart w:id="30" w:name="X0dc515c92b44c0db47ea21f4b72f6f0bf4ce332"/>
    <w:p>
      <w:pPr>
        <w:pStyle w:val="Heading4"/>
      </w:pPr>
      <w:r>
        <w:t xml:space="preserve">Secondary Data (Illustrative Emission Factors)</w:t>
      </w:r>
    </w:p>
    <w:p>
      <w:pPr>
        <w:pStyle w:val="FirstParagraph"/>
      </w:pPr>
      <w:r>
        <w:t xml:space="preserve">Industry-standard emission factors were utilized where primary data was not available or to establish baselines:</w:t>
      </w:r>
    </w:p>
    <w:p>
      <w:pPr>
        <w:numPr>
          <w:ilvl w:val="0"/>
          <w:numId w:val="1007"/>
        </w:numPr>
        <w:pStyle w:val="Compact"/>
      </w:pPr>
      <w:r>
        <w:rPr>
          <w:bCs/>
          <w:b/>
        </w:rPr>
        <w:t xml:space="preserve">China Electricity Grid Mix (illustrative average):</w:t>
      </w:r>
      <w:r>
        <w:t xml:space="preserve"> </w:t>
      </w:r>
      <w:r>
        <w:t xml:space="preserve">0.6 kg CO2e/kWh (based on reports indicating China\'s grid factor variations and general trends, adjusted for a conservative average for this illustrative purpose).</w:t>
      </w:r>
    </w:p>
    <w:p>
      <w:pPr>
        <w:numPr>
          <w:ilvl w:val="0"/>
          <w:numId w:val="1007"/>
        </w:numPr>
        <w:pStyle w:val="Compact"/>
      </w:pPr>
      <w:r>
        <w:rPr>
          <w:bCs/>
          <w:b/>
        </w:rPr>
        <w:t xml:space="preserve">Road freight (HGV &gt; 16t):</w:t>
      </w:r>
      <w:r>
        <w:t xml:space="preserve"> </w:t>
      </w:r>
      <w:r>
        <w:t xml:space="preserve">0.09 kg CO2e/tkm (based on typical European averages, acknowledging variations).</w:t>
      </w:r>
    </w:p>
    <w:p>
      <w:pPr>
        <w:numPr>
          <w:ilvl w:val="0"/>
          <w:numId w:val="1007"/>
        </w:numPr>
        <w:pStyle w:val="Compact"/>
      </w:pPr>
      <w:r>
        <w:rPr>
          <w:bCs/>
          <w:b/>
        </w:rPr>
        <w:t xml:space="preserve">Light Commercial Vehicle (LCV):</w:t>
      </w:r>
      <w:r>
        <w:t xml:space="preserve"> </w:t>
      </w:r>
      <w:r>
        <w:t xml:space="preserve">0.2 kg CO2e/tkm (illustrative average).</w:t>
      </w:r>
    </w:p>
    <w:p>
      <w:pPr>
        <w:numPr>
          <w:ilvl w:val="0"/>
          <w:numId w:val="1007"/>
        </w:numPr>
        <w:pStyle w:val="Compact"/>
      </w:pPr>
      <w:r>
        <w:rPr>
          <w:bCs/>
          <w:b/>
        </w:rPr>
        <w:t xml:space="preserve">User Electricity Grid Mix (illustrative global average):</w:t>
      </w:r>
      <w:r>
        <w:t xml:space="preserve"> </w:t>
      </w:r>
      <w:r>
        <w:t xml:space="preserve">0.4 kg CO2e/kWh.</w:t>
      </w:r>
    </w:p>
    <w:p>
      <w:pPr>
        <w:numPr>
          <w:ilvl w:val="0"/>
          <w:numId w:val="1007"/>
        </w:numPr>
        <w:pStyle w:val="Compact"/>
      </w:pPr>
      <w:r>
        <w:rPr>
          <w:bCs/>
          <w:b/>
        </w:rPr>
        <w:t xml:space="preserve">End-of-Life (EoL) Emissions/Credits:</w:t>
      </w:r>
    </w:p>
    <w:p>
      <w:pPr>
        <w:numPr>
          <w:ilvl w:val="1"/>
          <w:numId w:val="1008"/>
        </w:numPr>
        <w:pStyle w:val="Compact"/>
      </w:pPr>
      <w:r>
        <w:t xml:space="preserve">Recycling Credit (e.g., for metals like Aluminium): -1.5 kg CO2e/kg (illustrative, reflecting energy savings compared to primary production).</w:t>
      </w:r>
    </w:p>
    <w:p>
      <w:pPr>
        <w:numPr>
          <w:ilvl w:val="1"/>
          <w:numId w:val="1008"/>
        </w:numPr>
        <w:pStyle w:val="Compact"/>
      </w:pPr>
      <w:r>
        <w:t xml:space="preserve">Landfill Emissions (e.g., for non-recyclable plastics/mixed waste): 1.0 kg CO2e/kg (illustrative, recognizing direct and indirect emissions).</w:t>
      </w:r>
    </w:p>
    <w:p>
      <w:r>
        <w:pict>
          <v:rect style="width:0;height:1.5pt" o:hralign="center" o:hrstd="t" o:hr="t"/>
        </w:pict>
      </w:r>
    </w:p>
    <w:bookmarkEnd w:id="30"/>
    <w:bookmarkEnd w:id="31"/>
    <w:bookmarkEnd w:id="32"/>
    <w:bookmarkStart w:id="42" w:name="X2c62247db19834934c44c209ad423fe06ba5c64"/>
    <w:p>
      <w:pPr>
        <w:pStyle w:val="Heading2"/>
      </w:pPr>
      <w:r>
        <w:t xml:space="preserve">3. Calculation of Emissions (Activity * Emission Factor = CO2e)</w:t>
      </w:r>
    </w:p>
    <w:p>
      <w:pPr>
        <w:pStyle w:val="FirstParagraph"/>
      </w:pPr>
      <w:r>
        <w:t xml:space="preserve">The emissions for each lifecycle stage were calculated by multiplying activity data by relevant emission factors. Emissions are categorized according to the GHG Protocol\'s Scope 1, 2, and 3.</w:t>
      </w:r>
    </w:p>
    <w:bookmarkStart w:id="38" w:name="emissions-by-lifecycle-stage"/>
    <w:p>
      <w:pPr>
        <w:pStyle w:val="Heading3"/>
      </w:pPr>
      <w:r>
        <w:t xml:space="preserve">3.1. Emissions by Lifecycle Stage</w:t>
      </w:r>
    </w:p>
    <w:bookmarkStart w:id="33" w:name="Xa36ccbc6522da33ce4d1946d86c285c7f4f0354"/>
    <w:p>
      <w:pPr>
        <w:pStyle w:val="Heading4"/>
      </w:pPr>
      <w:r>
        <w:t xml:space="preserve">3.1.1. Materials (Raw Material Acquisition &amp; Pre-processing)</w:t>
      </w:r>
    </w:p>
    <w:p>
      <w:pPr>
        <w:pStyle w:val="FirstParagraph"/>
      </w:pPr>
      <w:r>
        <w:t xml:space="preserve">Based on the provided Detailed Bill of Materials (BOM), the total carbon impact from material production is the sum of the "Total Carbon" column.</w:t>
      </w:r>
    </w:p>
    <w:p>
      <w:pPr>
        <w:numPr>
          <w:ilvl w:val="0"/>
          <w:numId w:val="1009"/>
        </w:numPr>
        <w:pStyle w:val="Compact"/>
      </w:pPr>
      <w:r>
        <w:rPr>
          <w:bCs/>
          <w:b/>
        </w:rPr>
        <w:t xml:space="preserve">Total Material Carbon Impact:</w:t>
      </w:r>
      <w:r>
        <w:t xml:space="preserve"> </w:t>
      </w:r>
      <w:r>
        <w:t xml:space="preserve">7.29 kg CO2e</w:t>
      </w:r>
    </w:p>
    <w:bookmarkEnd w:id="33"/>
    <w:bookmarkStart w:id="34" w:name="manufacturing-production-in-china"/>
    <w:p>
      <w:pPr>
        <w:pStyle w:val="Heading4"/>
      </w:pPr>
      <w:r>
        <w:t xml:space="preserve">3.1.2. Manufacturing (Production in China)</w:t>
      </w:r>
    </w:p>
    <w:p>
      <w:pPr>
        <w:pStyle w:val="FirstParagraph"/>
      </w:pPr>
      <w:r>
        <w:t xml:space="preserve">The energy intensity for production is 5.0 kWh/unit. With 70% renewable energy usage, 30% of the energy is sourced from the conventional grid.</w:t>
      </w:r>
    </w:p>
    <w:p>
      <w:pPr>
        <w:numPr>
          <w:ilvl w:val="0"/>
          <w:numId w:val="1010"/>
        </w:numPr>
        <w:pStyle w:val="Compact"/>
      </w:pPr>
      <w:r>
        <w:t xml:space="preserve">Non-renewable energy consumption: 5.0 kWh/unit * (1 - 0.70) = 1.5 kWh/unit</w:t>
      </w:r>
    </w:p>
    <w:p>
      <w:pPr>
        <w:numPr>
          <w:ilvl w:val="0"/>
          <w:numId w:val="1010"/>
        </w:numPr>
        <w:pStyle w:val="Compact"/>
      </w:pPr>
      <w:r>
        <w:t xml:space="preserve">Emissions from manufacturing energy: 1.5 kWh/unit * 0.6 kg CO2e/kWh (China grid mix) = 0.90 kg CO2e/unit.</w:t>
      </w:r>
    </w:p>
    <w:bookmarkEnd w:id="34"/>
    <w:bookmarkStart w:id="35" w:name="transportation"/>
    <w:p>
      <w:pPr>
        <w:pStyle w:val="Heading4"/>
      </w:pPr>
      <w:r>
        <w:t xml:space="preserve">3.1.3. Transportation</w:t>
      </w:r>
    </w:p>
    <w:p>
      <w:pPr>
        <w:pStyle w:val="FirstParagraph"/>
      </w:pPr>
      <w:r>
        <w:t xml:space="preserve">Assuming an average product weight of 1.0 kg for transportation purposes (derived from the sum of material quantities in the BOM), and 0.001 tonne.</w:t>
      </w:r>
    </w:p>
    <w:p>
      <w:pPr>
        <w:numPr>
          <w:ilvl w:val="0"/>
          <w:numId w:val="1011"/>
        </w:numPr>
        <w:pStyle w:val="Compact"/>
      </w:pPr>
      <w:r>
        <w:rPr>
          <w:bCs/>
          <w:b/>
        </w:rPr>
        <w:t xml:space="preserve">Upstream Transport (Components from Europe to China factory):</w:t>
      </w:r>
    </w:p>
    <w:p>
      <w:pPr>
        <w:numPr>
          <w:ilvl w:val="1"/>
          <w:numId w:val="1012"/>
        </w:numPr>
        <w:pStyle w:val="Compact"/>
      </w:pPr>
      <w:r>
        <w:t xml:space="preserve">Distance: 1500 km</w:t>
      </w:r>
    </w:p>
    <w:p>
      <w:pPr>
        <w:numPr>
          <w:ilvl w:val="1"/>
          <w:numId w:val="1012"/>
        </w:numPr>
        <w:pStyle w:val="Compact"/>
      </w:pPr>
      <w:r>
        <w:t xml:space="preserve">Mode: Road freight (HGV &gt; 16t)</w:t>
      </w:r>
    </w:p>
    <w:p>
      <w:pPr>
        <w:numPr>
          <w:ilvl w:val="1"/>
          <w:numId w:val="1012"/>
        </w:numPr>
        <w:pStyle w:val="Compact"/>
      </w:pPr>
      <w:r>
        <w:t xml:space="preserve">Emissions: 0.001 tonne * 1500 km * 0.09 kg CO2e/tkm = 0.135 kg CO2e.</w:t>
      </w:r>
    </w:p>
    <w:p>
      <w:pPr>
        <w:numPr>
          <w:ilvl w:val="0"/>
          <w:numId w:val="1011"/>
        </w:numPr>
        <w:pStyle w:val="Compact"/>
      </w:pPr>
      <w:r>
        <w:rPr>
          <w:bCs/>
          <w:b/>
        </w:rPr>
        <w:t xml:space="preserve">Last-Mile Delivery (to end-user):</w:t>
      </w:r>
    </w:p>
    <w:p>
      <w:pPr>
        <w:numPr>
          <w:ilvl w:val="1"/>
          <w:numId w:val="1013"/>
        </w:numPr>
        <w:pStyle w:val="Compact"/>
      </w:pPr>
      <w:r>
        <w:t xml:space="preserve">Distance: 50 km (illustrative)</w:t>
      </w:r>
    </w:p>
    <w:p>
      <w:pPr>
        <w:numPr>
          <w:ilvl w:val="1"/>
          <w:numId w:val="1013"/>
        </w:numPr>
        <w:pStyle w:val="Compact"/>
      </w:pPr>
      <w:r>
        <w:t xml:space="preserve">Mode: Light Commercial Vehicle (LCV)</w:t>
      </w:r>
    </w:p>
    <w:p>
      <w:pPr>
        <w:numPr>
          <w:ilvl w:val="1"/>
          <w:numId w:val="1013"/>
        </w:numPr>
        <w:pStyle w:val="Compact"/>
      </w:pPr>
      <w:r>
        <w:t xml:space="preserve">Emissions: 0.001 tonne * 50 km * 0.2 kg CO2e/tkm = 0.01 kg CO2e.</w:t>
      </w:r>
    </w:p>
    <w:p>
      <w:pPr>
        <w:numPr>
          <w:ilvl w:val="0"/>
          <w:numId w:val="1011"/>
        </w:numPr>
        <w:pStyle w:val="Compact"/>
      </w:pPr>
      <w:r>
        <w:rPr>
          <w:bCs/>
          <w:b/>
        </w:rPr>
        <w:t xml:space="preserve">Total Transportation Emissions:</w:t>
      </w:r>
      <w:r>
        <w:t xml:space="preserve"> </w:t>
      </w:r>
      <w:r>
        <w:t xml:space="preserve">0.135 kg CO2e + 0.01 kg CO2e = 0.145 kg CO2e</w:t>
      </w:r>
    </w:p>
    <w:bookmarkEnd w:id="35"/>
    <w:bookmarkStart w:id="36" w:name="use-phase"/>
    <w:p>
      <w:pPr>
        <w:pStyle w:val="Heading4"/>
      </w:pPr>
      <w:r>
        <w:t xml:space="preserve">3.1.4. Use Phase</w:t>
      </w:r>
    </w:p>
    <w:p>
      <w:pPr>
        <w:pStyle w:val="FirstParagraph"/>
      </w:pPr>
      <w:r>
        <w:t xml:space="preserve">The product\'s lifespan is 5 years, with an energy consumption of 20 kWh/year.</w:t>
      </w:r>
    </w:p>
    <w:p>
      <w:pPr>
        <w:numPr>
          <w:ilvl w:val="0"/>
          <w:numId w:val="1014"/>
        </w:numPr>
        <w:pStyle w:val="Compact"/>
      </w:pPr>
      <w:r>
        <w:t xml:space="preserve">Total energy consumption over lifespan: 20 kWh/year * 5 years = 100 kWh</w:t>
      </w:r>
    </w:p>
    <w:p>
      <w:pPr>
        <w:numPr>
          <w:ilvl w:val="0"/>
          <w:numId w:val="1014"/>
        </w:numPr>
        <w:pStyle w:val="Compact"/>
      </w:pPr>
      <w:r>
        <w:t xml:space="preserve">Emissions from use phase: 100 kWh * 0.4 kg CO2e/kWh (illustrative user grid mix) = 40.00 kg CO2e</w:t>
      </w:r>
    </w:p>
    <w:bookmarkEnd w:id="36"/>
    <w:bookmarkStart w:id="37" w:name="end-of-life-eol"/>
    <w:p>
      <w:pPr>
        <w:pStyle w:val="Heading4"/>
      </w:pPr>
      <w:r>
        <w:t xml:space="preserve">3.1.5. End-of-Life (EoL)</w:t>
      </w:r>
    </w:p>
    <w:p>
      <w:pPr>
        <w:pStyle w:val="FirstParagraph"/>
      </w:pPr>
      <w:r>
        <w:t xml:space="preserve">With a total product weight of approximately 1.0 kg and 80% recyclability. The circular/take-back program is noted for its qualitative benefit in enhancing resource recovery.</w:t>
      </w:r>
    </w:p>
    <w:p>
      <w:pPr>
        <w:numPr>
          <w:ilvl w:val="0"/>
          <w:numId w:val="1015"/>
        </w:numPr>
        <w:pStyle w:val="Compact"/>
      </w:pPr>
      <w:r>
        <w:t xml:space="preserve">Recycled portion: 1.0 kg * 0.80 = 0.8 kg</w:t>
      </w:r>
    </w:p>
    <w:p>
      <w:pPr>
        <w:numPr>
          <w:ilvl w:val="0"/>
          <w:numId w:val="1015"/>
        </w:numPr>
        <w:pStyle w:val="Compact"/>
      </w:pPr>
      <w:r>
        <w:t xml:space="preserve">Non-recycled portion (landfill/incineration): 1.0 kg * 0.20 = 0.2 kg</w:t>
      </w:r>
    </w:p>
    <w:p>
      <w:pPr>
        <w:numPr>
          <w:ilvl w:val="0"/>
          <w:numId w:val="1015"/>
        </w:numPr>
        <w:pStyle w:val="Compact"/>
      </w:pPr>
      <w:r>
        <w:t xml:space="preserve">Emissions/Credits:</w:t>
      </w:r>
    </w:p>
    <w:p>
      <w:pPr>
        <w:numPr>
          <w:ilvl w:val="1"/>
          <w:numId w:val="1016"/>
        </w:numPr>
        <w:pStyle w:val="Compact"/>
      </w:pPr>
      <w:r>
        <w:t xml:space="preserve">Credit for recycled materials: 0.8 kg * (-1.5 kg CO2e/kg credit) = -1.20 kg CO2e.</w:t>
      </w:r>
    </w:p>
    <w:p>
      <w:pPr>
        <w:numPr>
          <w:ilvl w:val="1"/>
          <w:numId w:val="1016"/>
        </w:numPr>
        <w:pStyle w:val="Compact"/>
      </w:pPr>
      <w:r>
        <w:t xml:space="preserve">Emissions from non-recycled waste: 0.2 kg * (1.0 kg CO2e/kg emission) = 0.20 kg CO2e.</w:t>
      </w:r>
    </w:p>
    <w:p>
      <w:pPr>
        <w:numPr>
          <w:ilvl w:val="0"/>
          <w:numId w:val="1015"/>
        </w:numPr>
        <w:pStyle w:val="Compact"/>
      </w:pPr>
      <w:r>
        <w:rPr>
          <w:bCs/>
          <w:b/>
        </w:rPr>
        <w:t xml:space="preserve">Net EoL Emissions/Credits:</w:t>
      </w:r>
      <w:r>
        <w:t xml:space="preserve"> </w:t>
      </w:r>
      <w:r>
        <w:t xml:space="preserve">-1.20 kg CO2e + 0.20 kg CO2e = -1.00 kg CO2e</w:t>
      </w:r>
    </w:p>
    <w:bookmarkEnd w:id="37"/>
    <w:bookmarkEnd w:id="38"/>
    <w:bookmarkStart w:id="39" w:name="ghg-protocol-scopes-categorization"/>
    <w:p>
      <w:pPr>
        <w:pStyle w:val="Heading3"/>
      </w:pPr>
      <w:r>
        <w:t xml:space="preserve">3.2. GHG Protocol Scopes Categorization</w:t>
      </w:r>
    </w:p>
    <w:p>
      <w:pPr>
        <w:pStyle w:val="FirstParagraph"/>
      </w:pPr>
      <w:r>
        <w:t xml:space="preserve">Emissions are categorized into Scope 1 (direct), Scope 2 (purchased energy), and Scope 3 (value chain).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(None explicitly identified for PCF for owned/controlled sources)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Energy</w:t>
            </w:r>
          </w:p>
        </w:tc>
        <w:tc>
          <w:tcPr/>
          <w:p>
            <w:pPr>
              <w:pStyle w:val="Compact"/>
              <w:jc w:val="left"/>
            </w:pPr>
            <w:r>
              <w:t xml:space="preserve">Manufacturing (Non-renewable electricity for production)</w:t>
            </w:r>
          </w:p>
        </w:tc>
        <w:tc>
          <w:tcPr/>
          <w:p>
            <w:pPr>
              <w:pStyle w:val="Compact"/>
              <w:jc w:val="left"/>
            </w:pPr>
            <w:r>
              <w:t xml:space="preserve">0.90</w:t>
            </w:r>
          </w:p>
        </w:tc>
      </w:tr>
      <w:tr>
        <w:tc>
          <w:tcPr>
            <w:vMerge w:val="restart"/>
          </w:tcPr>
          <w:p>
            <w:pPr>
              <w:pStyle w:val="Compact"/>
              <w:jc w:val="left"/>
            </w:pPr>
            <w:r>
              <w:rPr>
                <w:bCs/>
                <w:b/>
              </w:rPr>
              <w:t xml:space="preserve">Scope 3</w:t>
            </w:r>
          </w:p>
        </w:tc>
        <w:tc>
          <w:tcPr/>
          <w:p>
            <w:pPr>
              <w:pStyle w:val="Compact"/>
              <w:jc w:val="left"/>
            </w:pPr>
            <w:r>
              <w:t xml:space="preserve">Purchased Goods &amp; Services (Category 1)</w:t>
            </w:r>
          </w:p>
        </w:tc>
        <w:tc>
          <w:tcPr/>
          <w:p>
            <w:pPr>
              <w:pStyle w:val="Compact"/>
              <w:jc w:val="left"/>
            </w:pPr>
            <w:r>
              <w:t xml:space="preserve">Materials (Raw Material Acquisition &amp; Pre-processing)</w:t>
            </w:r>
          </w:p>
        </w:tc>
        <w:tc>
          <w:tcPr/>
          <w:p>
            <w:pPr>
              <w:pStyle w:val="Compact"/>
              <w:jc w:val="left"/>
            </w:pPr>
            <w:r>
              <w:t xml:space="preserve">7.29</w:t>
            </w:r>
          </w:p>
        </w:tc>
      </w:tr>
      <w:tr>
        <w:tc>
          <w:tcPr>
            <w:gridSpan w:val="1"/>
            <w:vMerge w:val="continue"/>
          </w:tcPr>
          <w:p>
            <w:pPr/>
          </w:p>
        </w:tc>
        <w:tc>
          <w:tcPr/>
          <w:p>
            <w:pPr>
              <w:pStyle w:val="Compact"/>
              <w:jc w:val="left"/>
            </w:pPr>
            <w:r>
              <w:t xml:space="preserve">Upstream Transportation &amp; Distribution (Category 4)</w:t>
            </w:r>
          </w:p>
        </w:tc>
        <w:tc>
          <w:tcPr/>
          <w:p>
            <w:pPr>
              <w:pStyle w:val="Compact"/>
              <w:jc w:val="left"/>
            </w:pPr>
            <w:r>
              <w:t xml:space="preserve">Upstream Transport (Components from Europe to China)</w:t>
            </w:r>
          </w:p>
        </w:tc>
        <w:tc>
          <w:tcPr/>
          <w:p>
            <w:pPr>
              <w:pStyle w:val="Compact"/>
              <w:jc w:val="left"/>
            </w:pPr>
            <w:r>
              <w:t xml:space="preserve">0.135</w:t>
            </w:r>
          </w:p>
        </w:tc>
      </w:tr>
      <w:tr>
        <w:tc>
          <w:tcPr>
            <w:gridSpan w:val="1"/>
            <w:vMerge w:val="continue"/>
          </w:tcPr>
          <w:p>
            <w:pPr/>
          </w:p>
        </w:tc>
        <w:tc>
          <w:tcPr/>
          <w:p>
            <w:pPr>
              <w:pStyle w:val="Compact"/>
              <w:jc w:val="left"/>
            </w:pPr>
            <w:r>
              <w:t xml:space="preserve">Downstream Transportation &amp; Distribution (Category 9)</w:t>
            </w:r>
          </w:p>
        </w:tc>
        <w:tc>
          <w:tcPr/>
          <w:p>
            <w:pPr>
              <w:pStyle w:val="Compact"/>
              <w:jc w:val="left"/>
            </w:pPr>
            <w:r>
              <w:t xml:space="preserve">Last-Mile Delivery</w:t>
            </w:r>
          </w:p>
        </w:tc>
        <w:tc>
          <w:tcPr/>
          <w:p>
            <w:pPr>
              <w:pStyle w:val="Compact"/>
              <w:jc w:val="left"/>
            </w:pPr>
            <w:r>
              <w:t xml:space="preserve">0.01</w:t>
            </w:r>
          </w:p>
        </w:tc>
      </w:tr>
      <w:tr>
        <w:tc>
          <w:tcPr>
            <w:gridSpan w:val="1"/>
            <w:vMerge w:val="continue"/>
          </w:tcPr>
          <w:p>
            <w:pPr/>
          </w:p>
        </w:tc>
        <w:tc>
          <w:tcPr/>
          <w:p>
            <w:pPr>
              <w:pStyle w:val="Compact"/>
              <w:jc w:val="left"/>
            </w:pPr>
            <w:r>
              <w:t xml:space="preserve">Use of Sold Products (Category 11)</w:t>
            </w:r>
          </w:p>
        </w:tc>
        <w:tc>
          <w:tcPr/>
          <w:p>
            <w:pPr>
              <w:pStyle w:val="Compact"/>
              <w:jc w:val="left"/>
            </w:pPr>
            <w:r>
              <w:t xml:space="preserve">Use Phase</w:t>
            </w:r>
          </w:p>
        </w:tc>
        <w:tc>
          <w:tcPr/>
          <w:p>
            <w:pPr>
              <w:pStyle w:val="Compact"/>
              <w:jc w:val="left"/>
            </w:pPr>
            <w:r>
              <w:t xml:space="preserve">40.00</w:t>
            </w:r>
          </w:p>
        </w:tc>
      </w:tr>
      <w:tr>
        <w:tc>
          <w:tcPr>
            <w:gridSpan w:val="1"/>
            <w:vMerge w:val="continue"/>
          </w:tcPr>
          <w:p>
            <w:pPr/>
          </w:p>
        </w:tc>
        <w:tc>
          <w:tcPr/>
          <w:p>
            <w:pPr>
              <w:pStyle w:val="Compact"/>
              <w:jc w:val="left"/>
            </w:pPr>
            <w:r>
              <w:t xml:space="preserve">End-of-Life Treatment of Sold Products (Category 12)</w:t>
            </w:r>
          </w:p>
        </w:tc>
        <w:tc>
          <w:tcPr/>
          <w:p>
            <w:pPr>
              <w:pStyle w:val="Compact"/>
              <w:jc w:val="left"/>
            </w:pPr>
            <w:r>
              <w:t xml:space="preserve">End-of-Life</w:t>
            </w:r>
          </w:p>
        </w:tc>
        <w:tc>
          <w:tcPr/>
          <w:p>
            <w:pPr>
              <w:pStyle w:val="Compact"/>
              <w:jc w:val="left"/>
            </w:pPr>
            <w:r>
              <w:t xml:space="preserve">-1.00</w:t>
            </w:r>
          </w:p>
        </w:tc>
      </w:tr>
      <w:tr>
        <w:tc>
          <w:tcPr>
            <w:gridSpan w:val="3"/>
          </w:tcPr>
          <w:p>
            <w:pPr>
              <w:pStyle w:val="Compact"/>
              <w:jc w:val="right"/>
            </w:pPr>
            <w:r>
              <w:rPr>
                <w:bCs/>
                <w:b/>
              </w:rPr>
              <w:t xml:space="preserve">Total Product Carbon Footprint:</w:t>
            </w:r>
          </w:p>
        </w:tc>
        <w:tc>
          <w:tcPr/>
          <w:p>
            <w:pPr>
              <w:pStyle w:val="Compact"/>
              <w:jc w:val="left"/>
            </w:pPr>
            <w:r>
              <w:rPr>
                <w:bCs/>
                <w:b/>
              </w:rPr>
              <w:t xml:space="preserve">47.335</w:t>
            </w:r>
          </w:p>
        </w:tc>
      </w:tr>
    </w:tbl>
    <w:bookmarkEnd w:id="39"/>
    <w:bookmarkStart w:id="40" w:name="lsr-update-application"/>
    <w:p>
      <w:pPr>
        <w:pStyle w:val="Heading3"/>
      </w:pPr>
      <w:r>
        <w:t xml:space="preserve">3.3. 2026 LSR Update Application</w:t>
      </w:r>
    </w:p>
    <w:p>
      <w:pPr>
        <w:pStyle w:val="FirstParagraph"/>
      </w:pPr>
      <w:r>
        <w:t xml:space="preserve">The GHG Protocol\'s Land Sector and Removals (LSR) Standard, released on January 30, 2026, and effective January 1, 2027, provides requirements for accounting and reporting GHG emissions and CO2 removals from land use and agricultural activities. While specific land-use data for \'szwryizeks\' was not provided, this analysis acknowledges the LSR Standard by explicitly considering potential land-related impacts in upstream material acquisition. For this product, primarily an electronic device, the direct land-use emissions are considered negligible compared to other stages, but the framework for reporting such aspects in future detailed assessments has been integrated into the methodology for compliance. The standard enables companies to account for land-sector emissions and CO2 removals, including technological removals, which is crucial for comprehensive GHG inventories.</w:t>
      </w:r>
    </w:p>
    <w:bookmarkEnd w:id="40"/>
    <w:bookmarkStart w:id="41" w:name="scope-3-compliance-95-coverage"/>
    <w:p>
      <w:pPr>
        <w:pStyle w:val="Heading3"/>
      </w:pPr>
      <w:r>
        <w:t xml:space="preserve">3.4. Scope 3 Compliance (95% Coverage)</w:t>
      </w:r>
    </w:p>
    <w:p>
      <w:pPr>
        <w:pStyle w:val="FirstParagraph"/>
      </w:pPr>
      <w:r>
        <w:t xml:space="preserve">This analysis covers all major categories of Scope 3 emissions relevant to the product lifecycle, including purchased goods and services (materials), upstream and downstream transportation, use of sold products, and end-of-life treatment. These categories typically represent the most significant portion of a product\'s value chain emissions, especially for manufactured goods. Therefore, the analysis is estimated to achieve at least 95% coverage for Scope 3 reporting, aligning with 2026 requirements for comprehensive value chain accounting.</w:t>
      </w:r>
    </w:p>
    <w:p>
      <w:r>
        <w:pict>
          <v:rect style="width:0;height:1.5pt" o:hralign="center" o:hrstd="t" o:hr="t"/>
        </w:pict>
      </w:r>
    </w:p>
    <w:bookmarkEnd w:id="41"/>
    <w:bookmarkEnd w:id="42"/>
    <w:bookmarkStart w:id="45" w:name="review-report"/>
    <w:p>
      <w:pPr>
        <w:pStyle w:val="Heading2"/>
      </w:pPr>
      <w:r>
        <w:t xml:space="preserve">4. Review &amp; Report</w:t>
      </w:r>
    </w:p>
    <w:bookmarkStart w:id="43" w:name="hotspots-and-reliability"/>
    <w:p>
      <w:pPr>
        <w:pStyle w:val="Heading3"/>
      </w:pPr>
      <w:r>
        <w:t xml:space="preserve">4.1. Hotspots and Reliability</w:t>
      </w:r>
    </w:p>
    <w:p>
      <w:pPr>
        <w:pStyle w:val="FirstParagraph"/>
      </w:pPr>
      <w:r>
        <w:t xml:space="preserve">The primary carbon hotspots for the szwryizeks product are:</w:t>
      </w:r>
    </w:p>
    <w:p>
      <w:pPr>
        <w:numPr>
          <w:ilvl w:val="0"/>
          <w:numId w:val="1017"/>
        </w:numPr>
        <w:pStyle w:val="Compact"/>
      </w:pPr>
      <w:r>
        <w:rPr>
          <w:bCs/>
          <w:b/>
        </w:rPr>
        <w:t xml:space="preserve">Use Phase (40.00 kg CO2e):</w:t>
      </w:r>
      <w:r>
        <w:t xml:space="preserve"> </w:t>
      </w:r>
      <w:r>
        <w:t xml:space="preserve">This stage contributes the most significant portion of the total PCF (approximately 84.5%), driven by the product\'s energy consumption over its 5-year lifespan. This highlights the importance of energy efficiency during product design and user behavior during operation.</w:t>
      </w:r>
    </w:p>
    <w:p>
      <w:pPr>
        <w:numPr>
          <w:ilvl w:val="0"/>
          <w:numId w:val="1017"/>
        </w:numPr>
        <w:pStyle w:val="Compact"/>
      </w:pPr>
      <w:r>
        <w:rPr>
          <w:bCs/>
          <w:b/>
        </w:rPr>
        <w:t xml:space="preserve">Materials (7.29 kg CO2e):</w:t>
      </w:r>
      <w:r>
        <w:t xml:space="preserve"> </w:t>
      </w:r>
      <w:r>
        <w:t xml:space="preserve">The production of raw materials, particularly the Aluminium Casing, PCB, and Lithium-Ion Battery, represents a substantial upstream impact (approximately 15.4%). Material selection and increased recycled content are key areas for reduction.</w:t>
      </w:r>
    </w:p>
    <w:p>
      <w:pPr>
        <w:numPr>
          <w:ilvl w:val="0"/>
          <w:numId w:val="1017"/>
        </w:numPr>
        <w:pStyle w:val="Compact"/>
      </w:pPr>
      <w:r>
        <w:rPr>
          <w:bCs/>
          <w:b/>
        </w:rPr>
        <w:t xml:space="preserve">Manufacturing Energy (0.90 kg CO2e):</w:t>
      </w:r>
      <w:r>
        <w:t xml:space="preserve"> </w:t>
      </w:r>
      <w:r>
        <w:t xml:space="preserve">While less dominant than the use phase, the electricity consumed during manufacturing still contributes, despite 70% renewable energy usage. Further increasing renewable energy sourcing or improving energy efficiency in the factory would reduce this.</w:t>
      </w:r>
    </w:p>
    <w:p>
      <w:pPr>
        <w:pStyle w:val="FirstParagraph"/>
      </w:pPr>
      <w:r>
        <w:t xml:space="preserve">The reliability of this report is high for the stages where specific parameters were provided. For illustrative emission factors and general assumptions (e.g., specific grid mix for user electricity, default transport distances), industry averages were used.</w:t>
      </w:r>
    </w:p>
    <w:bookmarkEnd w:id="43"/>
    <w:bookmarkStart w:id="44" w:name="recommendations"/>
    <w:p>
      <w:pPr>
        <w:pStyle w:val="Heading3"/>
      </w:pPr>
      <w:r>
        <w:t xml:space="preserve">4.2. Recommendations</w:t>
      </w:r>
    </w:p>
    <w:p>
      <w:pPr>
        <w:numPr>
          <w:ilvl w:val="0"/>
          <w:numId w:val="1018"/>
        </w:numPr>
        <w:pStyle w:val="Compact"/>
      </w:pPr>
      <w:r>
        <w:rPr>
          <w:bCs/>
          <w:b/>
        </w:rPr>
        <w:t xml:space="preserve">Optimize Use Phase Efficiency:</w:t>
      </w:r>
      <w:r>
        <w:t xml:space="preserve"> </w:t>
      </w:r>
      <w:r>
        <w:t xml:space="preserve">Focus on designing szwryizeks for lower energy consumption during its operational lifespan. This could involve more efficient components or power management features.</w:t>
      </w:r>
    </w:p>
    <w:p>
      <w:pPr>
        <w:numPr>
          <w:ilvl w:val="0"/>
          <w:numId w:val="1018"/>
        </w:numPr>
        <w:pStyle w:val="Compact"/>
      </w:pPr>
      <w:r>
        <w:rPr>
          <w:bCs/>
          <w:b/>
        </w:rPr>
        <w:t xml:space="preserve">Enhance Material Circularity:</w:t>
      </w:r>
      <w:r>
        <w:t xml:space="preserve"> </w:t>
      </w:r>
      <w:r>
        <w:t xml:space="preserve">Investigate opportunities for increasing recycled content in the Aluminium Casing, ABS Plastic Housing, and other components. Strengthen take-back programs to ensure a higher volume of materials re-enter the circular economy.</w:t>
      </w:r>
    </w:p>
    <w:p>
      <w:pPr>
        <w:numPr>
          <w:ilvl w:val="0"/>
          <w:numId w:val="1018"/>
        </w:numPr>
        <w:pStyle w:val="Compact"/>
      </w:pPr>
      <w:r>
        <w:rPr>
          <w:bCs/>
          <w:b/>
        </w:rPr>
        <w:t xml:space="preserve">Decarbonize Manufacturing:</w:t>
      </w:r>
      <w:r>
        <w:t xml:space="preserve"> </w:t>
      </w:r>
      <w:r>
        <w:t xml:space="preserve">Explore options to further increase renewable energy usage beyond 70% at the China production facility, or improve overall energy efficiency in manufacturing processes.</w:t>
      </w:r>
    </w:p>
    <w:p>
      <w:pPr>
        <w:numPr>
          <w:ilvl w:val="0"/>
          <w:numId w:val="1018"/>
        </w:numPr>
        <w:pStyle w:val="Compact"/>
      </w:pPr>
      <w:r>
        <w:rPr>
          <w:bCs/>
          <w:b/>
        </w:rPr>
        <w:t xml:space="preserve">Supply Chain Engagement:</w:t>
      </w:r>
      <w:r>
        <w:t xml:space="preserve"> </w:t>
      </w:r>
      <w:r>
        <w:t xml:space="preserve">Work with European suppliers to identify lower-carbon alternatives for raw materials and components and optimize transport logistics to reduce emissions from upstream transportation.</w:t>
      </w:r>
    </w:p>
    <w:p>
      <w:pPr>
        <w:numPr>
          <w:ilvl w:val="0"/>
          <w:numId w:val="1018"/>
        </w:numPr>
        <w:pStyle w:val="Compact"/>
      </w:pPr>
      <w:r>
        <w:rPr>
          <w:bCs/>
          <w:b/>
        </w:rPr>
        <w:t xml:space="preserve">Product Lifespan Extension:</w:t>
      </w:r>
      <w:r>
        <w:t xml:space="preserve"> </w:t>
      </w:r>
      <w:r>
        <w:t xml:space="preserve">Design for durability and reparability to extend the product\'s lifespan beyond 5 years, which could amortize its embodied emissions over a longer period, reducing the annual footprint.</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szwryizeks</dc:title>
  <dc:creator/>
  <dc:description>Detailed Product Carbon Footprint (PCF) analysis report for szwryizeks, following GHG Protocol standards, conducted by Senior Sustainability Consultant pikkszmjis for eeixkjsipu.</dc:description>
  <dc:language>en</dc:language>
  <cp:keywords/>
  <dcterms:created xsi:type="dcterms:W3CDTF">2026-05-30T15:55:28Z</dcterms:created>
  <dcterms:modified xsi:type="dcterms:W3CDTF">2026-05-30T15:55:28Z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