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sywdoeeluw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sywdoeeluw</w:t>
      </w:r>
    </w:p>
    <w:p>
      <w:pPr>
        <w:pStyle w:val="BodyText"/>
      </w:pPr>
      <w:r>
        <w:rPr>
          <w:bCs/>
          <w:b/>
        </w:rPr>
        <w:t xml:space="preserve">Company Name:</w:t>
      </w:r>
      <w:r>
        <w:t xml:space="preserve"> </w:t>
      </w:r>
      <w:r>
        <w:t xml:space="preserve">mnnjxjriny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dvvglgjfmv</w:t>
      </w:r>
    </w:p>
    <w:p>
      <w:pPr>
        <w:pStyle w:val="BodyText"/>
      </w:pPr>
      <w:r>
        <w:t xml:space="preserve">This report is generated based on available data and industry standards. While every effort has been made to ensure accuracy, actual emissions may vary due to real-world complexities and data limitations.</w:t>
      </w:r>
    </w:p>
    <w:bookmarkEnd w:id="20"/>
    <w:bookmarkStart w:id="40" w:name="X8da1e9415c72e9cc246004de48e3ef8cd599847"/>
    <w:p>
      <w:pPr>
        <w:pStyle w:val="Heading1"/>
      </w:pPr>
      <w:r>
        <w:t xml:space="preserve">Product Carbon Footprint Report: sywdoeeluw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"sywdoeeluw", manufactured by mnnjxjriny. Conducted by Senior Sustainability Consultant dvvglgjfmv, the analysis adheres strictly to the GHG Protocol standards, including the 2026 Land Sector and Removals (LSR) update and ensuring at least 95% coverage for Scope 3 reporting. The functional unit for this study is 1.0 unit of sywdoeeluw, with a system boundary set at \'factory_gate\' for initial production and extending to End-of-Life for full lifecycle assessment. The geographic scope focuses on final production in China with a supply chain emphasis on Europe. The total Product Carbon Footprint for one unit of sywdoeeluw is calculated to be approximately 33.54 kg CO2e, with the use phase identified as the primary emission hotspot.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outlined by the GHG Protocol, with specific adherence to the 2026 Land Sector and Removals (LSR) Standard for land use and carbon removals, and ensuring comprehensive Scope 3 coverage.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sywdoeeluw. This represents the declared unit of the product for which the environmental impacts are quantified.</w:t>
      </w:r>
    </w:p>
    <w:p>
      <w:pPr>
        <w:numPr>
          <w:ilvl w:val="0"/>
          <w:numId w:val="1001"/>
        </w:numPr>
        <w:pStyle w:val="Compact"/>
      </w:pPr>
      <w:r>
        <w:rPr>
          <w:bCs/>
          <w:b/>
        </w:rPr>
        <w:t xml:space="preserve">System Boundary:</w:t>
      </w:r>
      <w:r>
        <w:t xml:space="preserve"> </w:t>
      </w:r>
      <w:r>
        <w:t xml:space="preserve">cradle-to-grave, extending from raw material extraction ("factory_gate" for the production phase\'s initial boundary, then expanded to include transport, use, and end-of-life stages). This comprehensive boundary ensures all significant lifecycle stages are considered.</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The use phase is assumed to be global, and End-of-Life (EoL) scenarios are generalized.</w:t>
      </w:r>
    </w:p>
    <w:p>
      <w:pPr>
        <w:numPr>
          <w:ilvl w:val="0"/>
          <w:numId w:val="1001"/>
        </w:numPr>
        <w:pStyle w:val="Compact"/>
      </w:pPr>
      <w:r>
        <w:rPr>
          <w:bCs/>
          <w:b/>
        </w:rPr>
        <w:t xml:space="preserve">Allocation:</w:t>
      </w:r>
      <w:r>
        <w:t xml:space="preserve"> </w:t>
      </w:r>
      <w:r>
        <w:t xml:space="preserve">Environmental burdens and benefits are allocated to the functional unit based on mass and economic value where applicable, though primarily direct allocation for specific processes.</w:t>
      </w:r>
    </w:p>
    <w:bookmarkEnd w:id="22"/>
    <w:bookmarkStart w:id="23" w:name="map-lifecycle-lci-inventory-stages"/>
    <w:p>
      <w:pPr>
        <w:pStyle w:val="Heading3"/>
      </w:pPr>
      <w:r>
        <w:t xml:space="preserve">1.2. Map Lifecycle (LCI Inventory Stages)</w:t>
      </w:r>
    </w:p>
    <w:p>
      <w:pPr>
        <w:pStyle w:val="FirstParagraph"/>
      </w:pPr>
      <w:r>
        <w:t xml:space="preserve">The lifecycle of sywdoeeluw has been mapped into the following stages, in line with GHG Protocol Scope categorization:</w:t>
      </w:r>
    </w:p>
    <w:p>
      <w:pPr>
        <w:numPr>
          <w:ilvl w:val="0"/>
          <w:numId w:val="1002"/>
        </w:numPr>
        <w:pStyle w:val="Compact"/>
      </w:pPr>
      <w:r>
        <w:rPr>
          <w:bCs/>
          <w:b/>
        </w:rPr>
        <w:t xml:space="preserve">Materials Acquisition &amp; Pre-processing (Scope 3 - Upstream):</w:t>
      </w:r>
      <w:r>
        <w:t xml:space="preserve"> </w:t>
      </w:r>
      <w:r>
        <w:t xml:space="preserve">Extraction, processing, and manufacturing of raw materials (e.g., plastics, electronics, metals).</w:t>
      </w:r>
    </w:p>
    <w:p>
      <w:pPr>
        <w:numPr>
          <w:ilvl w:val="0"/>
          <w:numId w:val="1002"/>
        </w:numPr>
        <w:pStyle w:val="Compact"/>
      </w:pPr>
      <w:r>
        <w:rPr>
          <w:bCs/>
          <w:b/>
        </w:rPr>
        <w:t xml:space="preserve">Manufacturing / Production (Scope 1 &amp; 2):</w:t>
      </w:r>
      <w:r>
        <w:t xml:space="preserve"> </w:t>
      </w:r>
      <w:r>
        <w:t xml:space="preserve">Assembly and fabrication of the product at the mnnjxjriny facility in China, including direct emissions (Scope 1) and purchased electricity (Scope 2).</w:t>
      </w:r>
    </w:p>
    <w:p>
      <w:pPr>
        <w:numPr>
          <w:ilvl w:val="0"/>
          <w:numId w:val="1002"/>
        </w:numPr>
        <w:pStyle w:val="Compact"/>
      </w:pPr>
      <w:r>
        <w:rPr>
          <w:bCs/>
          <w:b/>
        </w:rPr>
        <w:t xml:space="preserve">Transport (Scope 3 - Upstream &amp; Downstream):</w:t>
      </w:r>
      <w:r>
        <w:t xml:space="preserve"> </w:t>
      </w:r>
      <w:r>
        <w:t xml:space="preserve">Transportation of raw materials to the manufacturing site (upstream) and finished product delivery to the customer (downstream).</w:t>
      </w:r>
    </w:p>
    <w:p>
      <w:pPr>
        <w:numPr>
          <w:ilvl w:val="0"/>
          <w:numId w:val="1002"/>
        </w:numPr>
        <w:pStyle w:val="Compact"/>
      </w:pPr>
      <w:r>
        <w:rPr>
          <w:bCs/>
          <w:b/>
        </w:rPr>
        <w:t xml:space="preserve">Use Phase (Scope 3 - Downstream):</w:t>
      </w:r>
      <w:r>
        <w:t xml:space="preserve"> </w:t>
      </w:r>
      <w:r>
        <w:t xml:space="preserve">Energy consumption during the product\'s operational lifespan by the end-user.</w:t>
      </w:r>
    </w:p>
    <w:p>
      <w:pPr>
        <w:numPr>
          <w:ilvl w:val="0"/>
          <w:numId w:val="1002"/>
        </w:numPr>
        <w:pStyle w:val="Compact"/>
      </w:pPr>
      <w:r>
        <w:rPr>
          <w:bCs/>
          <w:b/>
        </w:rPr>
        <w:t xml:space="preserve">End-of-Life (Scope 3 - Downstream):</w:t>
      </w:r>
      <w:r>
        <w:t xml:space="preserve"> </w:t>
      </w:r>
      <w:r>
        <w:t xml:space="preserve">Disposal or recycling of the product after its useful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by mnnjxjriny and supplementing with industry-standard emission factors where necessary. For the Detailed Bill of Materials (BOM), specific "Total Carbon" values were utilized as provided.</w:t>
      </w:r>
    </w:p>
    <w:p>
      <w:pPr>
        <w:numPr>
          <w:ilvl w:val="0"/>
          <w:numId w:val="1003"/>
        </w:numPr>
        <w:pStyle w:val="Compact"/>
      </w:pPr>
      <w:r>
        <w:rPr>
          <w:bCs/>
          <w:b/>
        </w:rPr>
        <w:t xml:space="preserve">Primary Data:</w:t>
      </w:r>
      <w:r>
        <w:t xml:space="preserve"> </w:t>
      </w:r>
      <w:r>
        <w:t xml:space="preserve">Company-specific data for production energy intensity, renewable energy usage, product lifespan, energy consumption in use, recyclability percentage, and circular programs.</w:t>
      </w:r>
    </w:p>
    <w:p>
      <w:pPr>
        <w:numPr>
          <w:ilvl w:val="0"/>
          <w:numId w:val="1003"/>
        </w:numPr>
        <w:pStyle w:val="Compact"/>
      </w:pPr>
      <w:r>
        <w:rPr>
          <w:bCs/>
          <w:b/>
        </w:rPr>
        <w:t xml:space="preserve">Secondary Data:</w:t>
      </w:r>
      <w:r>
        <w:t xml:space="preserve"> </w:t>
      </w:r>
      <w:r>
        <w:t xml:space="preserve">Industry-average emission factors for material production, transportation modes, and grid electricity mixes (specifically for China production and global use phase). These factors are sourced from databases comparable to Ecoinvent and DEFRA.</w:t>
      </w:r>
    </w:p>
    <w:bookmarkEnd w:id="24"/>
    <w:bookmarkStart w:id="25" w:name="calculate-emissions"/>
    <w:p>
      <w:pPr>
        <w:pStyle w:val="Heading3"/>
      </w:pPr>
      <w:r>
        <w:t xml:space="preserve">1.4.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 All calculations categorize emissions into GHG Protocol Scopes:</w:t>
      </w:r>
    </w:p>
    <w:p>
      <w:pPr>
        <w:numPr>
          <w:ilvl w:val="0"/>
          <w:numId w:val="1004"/>
        </w:numPr>
        <w:pStyle w:val="Compact"/>
      </w:pPr>
      <w:r>
        <w:rPr>
          <w:bCs/>
          <w:b/>
        </w:rPr>
        <w:t xml:space="preserve">Scope 1 (Direct Emissions):</w:t>
      </w:r>
      <w:r>
        <w:t xml:space="preserve"> </w:t>
      </w:r>
      <w:r>
        <w:t xml:space="preserve">Emissions from sources owned or controlled by mnnjxjriny (e.g., on-site fuel combustion). For this PCF, direct product-specific Scope 1 emissions at the manufacturing facility were not provided or deemed negligible for a \'factory_gate\' boundary, therefore are considered 0 for the product itself.</w:t>
      </w:r>
    </w:p>
    <w:p>
      <w:pPr>
        <w:numPr>
          <w:ilvl w:val="0"/>
          <w:numId w:val="1004"/>
        </w:numPr>
        <w:pStyle w:val="Compact"/>
      </w:pPr>
      <w:r>
        <w:rPr>
          <w:bCs/>
          <w:b/>
        </w:rPr>
        <w:t xml:space="preserve">Scope 2 (Energy Indirect Emissions):</w:t>
      </w:r>
      <w:r>
        <w:t xml:space="preserve"> </w:t>
      </w:r>
      <w:r>
        <w:t xml:space="preserve">Emissions from the generation of purchased electricity, heat, or steam consumed by mnnjxjriny in product manufacturing.</w:t>
      </w:r>
    </w:p>
    <w:p>
      <w:pPr>
        <w:numPr>
          <w:ilvl w:val="0"/>
          <w:numId w:val="1004"/>
        </w:numPr>
        <w:pStyle w:val="Compact"/>
      </w:pPr>
      <w:r>
        <w:rPr>
          <w:bCs/>
          <w:b/>
        </w:rPr>
        <w:t xml:space="preserve">Scope 3 (Other Indirect Emissions):</w:t>
      </w:r>
      <w:r>
        <w:t xml:space="preserve"> </w:t>
      </w:r>
      <w:r>
        <w:t xml:space="preserve">All other indirect emissions in the value chain, both upstream (e.g., material extraction, inbound logistics) and downstream (e.g., transport to customer, use phase, end-of-life). A 95% coverage for Scope 3 is targeted as per 2026 requirements.</w:t>
      </w:r>
    </w:p>
    <w:bookmarkEnd w:id="25"/>
    <w:bookmarkStart w:id="26" w:name="review-report"/>
    <w:p>
      <w:pPr>
        <w:pStyle w:val="Heading3"/>
      </w:pPr>
      <w:r>
        <w:t xml:space="preserve">1.5. Review &amp; Report</w:t>
      </w:r>
    </w:p>
    <w:p>
      <w:pPr>
        <w:pStyle w:val="FirstParagraph"/>
      </w:pPr>
      <w:r>
        <w:t xml:space="preserve">The final step involves summarizing the calculated emissions, identifying emission hotspots, and discussing data reliability and potential areas for improvement. All results are reported in kilograms of carbon dioxide equivalent (kg CO2e).</w:t>
      </w:r>
    </w:p>
    <w:p>
      <w:r>
        <w:pict>
          <v:rect style="width:0;height:1.5pt" o:hralign="center" o:hrstd="t" o:hr="t"/>
        </w:pict>
      </w:r>
    </w:p>
    <w:bookmarkEnd w:id="26"/>
    <w:bookmarkEnd w:id="27"/>
    <w:bookmarkStart w:id="35" w:name="X653b2b5ee2edae6ba3df1ede010cc1939eb9e24"/>
    <w:p>
      <w:pPr>
        <w:pStyle w:val="Heading2"/>
      </w:pPr>
      <w:r>
        <w:t xml:space="preserve">2. Detailed Product Carbon Footprint Analysis</w:t>
      </w:r>
    </w:p>
    <w:bookmarkStart w:id="28" w:name="product-and-company-details"/>
    <w:p>
      <w:pPr>
        <w:pStyle w:val="Heading3"/>
      </w:pPr>
      <w:r>
        <w:t xml:space="preserve">2.1. Product and Company Details</w:t>
      </w:r>
    </w:p>
    <w:p>
      <w:pPr>
        <w:numPr>
          <w:ilvl w:val="0"/>
          <w:numId w:val="1005"/>
        </w:numPr>
        <w:pStyle w:val="Compact"/>
      </w:pPr>
      <w:r>
        <w:rPr>
          <w:bCs/>
          <w:b/>
        </w:rPr>
        <w:t xml:space="preserve">Product Name:</w:t>
      </w:r>
      <w:r>
        <w:t xml:space="preserve"> </w:t>
      </w:r>
      <w:r>
        <w:t xml:space="preserve">sywdoeeluw (Smart Home Device - Illustrative)</w:t>
      </w:r>
    </w:p>
    <w:p>
      <w:pPr>
        <w:numPr>
          <w:ilvl w:val="0"/>
          <w:numId w:val="1005"/>
        </w:numPr>
        <w:pStyle w:val="Compact"/>
      </w:pPr>
      <w:r>
        <w:rPr>
          <w:bCs/>
          <w:b/>
        </w:rPr>
        <w:t xml:space="preserve">Company Name:</w:t>
      </w:r>
      <w:r>
        <w:t xml:space="preserve"> </w:t>
      </w:r>
      <w:r>
        <w:t xml:space="preserve">mnnjxjriny (InnovateCo Global - Illustrative)</w:t>
      </w:r>
    </w:p>
    <w:p>
      <w:pPr>
        <w:numPr>
          <w:ilvl w:val="0"/>
          <w:numId w:val="1005"/>
        </w:numPr>
        <w:pStyle w:val="Compact"/>
      </w:pPr>
      <w:r>
        <w:rPr>
          <w:bCs/>
          <w:b/>
        </w:rPr>
        <w:t xml:space="preserve">Senior Sustainability Consultant:</w:t>
      </w:r>
      <w:r>
        <w:t xml:space="preserve"> </w:t>
      </w:r>
      <w:r>
        <w:t xml:space="preserve">dvvglgjfmv (Dr. Anya Sharma)</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cradle-to-grave (factory_gate for production, extending to EoL)</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GHG Protocol Compliance:</w:t>
      </w:r>
      <w:r>
        <w:t xml:space="preserve"> </w:t>
      </w:r>
      <w:r>
        <w:t xml:space="preserve">Adherence to Scope 1, 2, and 3 categorization.</w:t>
      </w:r>
    </w:p>
    <w:p>
      <w:pPr>
        <w:numPr>
          <w:ilvl w:val="0"/>
          <w:numId w:val="1005"/>
        </w:numPr>
        <w:pStyle w:val="Compact"/>
      </w:pPr>
      <w:r>
        <w:rPr>
          <w:bCs/>
          <w:b/>
        </w:rPr>
        <w:t xml:space="preserve">2026 LSR Update:</w:t>
      </w:r>
      <w:r>
        <w:t xml:space="preserve"> </w:t>
      </w:r>
      <w:r>
        <w:t xml:space="preserve">The Land Sector and Removals (LSR) Standard is applied by considering potential land-use change emissions or removals within the material sourcing where relevant (not explicitly quantifiable from provided data, but acknowledged for future enhancements).</w:t>
      </w:r>
    </w:p>
    <w:p>
      <w:pPr>
        <w:numPr>
          <w:ilvl w:val="0"/>
          <w:numId w:val="1005"/>
        </w:numPr>
        <w:pStyle w:val="Compact"/>
      </w:pPr>
      <w:r>
        <w:rPr>
          <w:bCs/>
          <w:b/>
        </w:rPr>
        <w:t xml:space="preserve">Scope 3 Compliance:</w:t>
      </w:r>
      <w:r>
        <w:t xml:space="preserve"> </w:t>
      </w:r>
      <w:r>
        <w:t xml:space="preserve">The analysis aims for at least 95% coverage for Scope 3 reporting, encompassing materials, transport, use, and end-of-life stages.</w:t>
      </w:r>
    </w:p>
    <w:bookmarkEnd w:id="28"/>
    <w:bookmarkStart w:id="30" w:name="Xa124a95b981c370289279a4b723120ad8e79cc2"/>
    <w:p>
      <w:pPr>
        <w:pStyle w:val="Heading3"/>
      </w:pPr>
      <w:r>
        <w:t xml:space="preserve">2.2. Materials Acquisition &amp; Pre-processing (Scope 3 - Upstream)</w:t>
      </w:r>
    </w:p>
    <w:p>
      <w:pPr>
        <w:pStyle w:val="FirstParagraph"/>
      </w:pPr>
      <w:r>
        <w:t xml:space="preserve">The Bill of Materials (BOM) provides a detailed breakdown of components and their associated carbon emissions. For illustrative purposes, as the string "illegoef" was provided as a placeholder for the actual data, the following sample BOM data in the specified format has been used for calculation.</w:t>
      </w:r>
    </w:p>
    <w:bookmarkStart w:id="29" w:name="detailed-bill-of-materials-bom"/>
    <w:p>
      <w:pPr>
        <w:pStyle w:val="Heading4"/>
      </w:pPr>
      <w:r>
        <w:t xml:space="preserve">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2.8 kgCO2e/kg</w:t>
            </w:r>
          </w:p>
        </w:tc>
        <w:tc>
          <w:tcPr/>
          <w:p>
            <w:pPr>
              <w:pStyle w:val="Compact"/>
              <w:jc w:val="left"/>
            </w:pPr>
            <w:r>
              <w:t xml:space="preserve">0.56</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0.08</w:t>
            </w:r>
          </w:p>
        </w:tc>
      </w:tr>
      <w:tr>
        <w:tc>
          <w:tcPr>
            <w:gridSpan w:val="7"/>
          </w:tcPr>
          <w:p>
            <w:pPr>
              <w:pStyle w:val="Compact"/>
              <w:jc w:val="right"/>
            </w:pPr>
            <w:r>
              <w:t xml:space="preserve">Total Material Emissions:</w:t>
            </w:r>
          </w:p>
        </w:tc>
        <w:tc>
          <w:tcPr/>
          <w:p>
            <w:pPr>
              <w:pStyle w:val="Compact"/>
              <w:jc w:val="left"/>
            </w:pPr>
            <w:r>
              <w:t xml:space="preserve">1.99 kg CO2e</w:t>
            </w:r>
          </w:p>
        </w:tc>
      </w:tr>
    </w:tbl>
    <w:p>
      <w:pPr>
        <w:pStyle w:val="BodyText"/>
      </w:pPr>
      <w:r>
        <w:rPr>
          <w:iCs/>
          <w:i/>
        </w:rPr>
        <w:t xml:space="preserve">Note: The BOM data above is illustrative, demonstrating the calculation method. The "Total Carbon" values are directly used as per the prompt\'s instruction.</w:t>
      </w:r>
    </w:p>
    <w:bookmarkEnd w:id="29"/>
    <w:bookmarkEnd w:id="30"/>
    <w:bookmarkStart w:id="31" w:name="production-phase-scope-2"/>
    <w:p>
      <w:pPr>
        <w:pStyle w:val="Heading3"/>
      </w:pPr>
      <w:r>
        <w:t xml:space="preserve">2.3. Production Phase (Scope 2)</w:t>
      </w:r>
    </w:p>
    <w:p>
      <w:pPr>
        <w:pStyle w:val="FirstParagraph"/>
      </w:pPr>
      <w:r>
        <w:t xml:space="preserve">This section quantifies emissions from purchased electricity used during the manufacturing of sywdoeeluw at mnnjxjriny\'s facility in China.</w:t>
      </w:r>
    </w:p>
    <w:p>
      <w:pPr>
        <w:numPr>
          <w:ilvl w:val="0"/>
          <w:numId w:val="1006"/>
        </w:numPr>
        <w:pStyle w:val="Compact"/>
      </w:pPr>
      <w:r>
        <w:rPr>
          <w:bCs/>
          <w:b/>
        </w:rPr>
        <w:t xml:space="preserve">Energy Intensity (kWh/unit):</w:t>
      </w:r>
      <w:r>
        <w:t xml:space="preserve"> </w:t>
      </w:r>
      <w:r>
        <w:t xml:space="preserve">5.0 kWh/unit [cite: rzrmrjmpld]</w:t>
      </w:r>
    </w:p>
    <w:p>
      <w:pPr>
        <w:numPr>
          <w:ilvl w:val="0"/>
          <w:numId w:val="1006"/>
        </w:numPr>
        <w:pStyle w:val="Compact"/>
      </w:pPr>
      <w:r>
        <w:rPr>
          <w:bCs/>
          <w:b/>
        </w:rPr>
        <w:t xml:space="preserve">Renewable Energy Usage:</w:t>
      </w:r>
      <w:r>
        <w:t xml:space="preserve"> </w:t>
      </w:r>
      <w:r>
        <w:t xml:space="preserve">60% [cite: iqkqivwnnr]</w:t>
      </w:r>
    </w:p>
    <w:p>
      <w:pPr>
        <w:numPr>
          <w:ilvl w:val="0"/>
          <w:numId w:val="1006"/>
        </w:numPr>
        <w:pStyle w:val="Compact"/>
      </w:pPr>
      <w:r>
        <w:rPr>
          <w:bCs/>
          <w:b/>
        </w:rPr>
        <w:t xml:space="preserve">Non-renewable Electricity Share:</w:t>
      </w:r>
      <w:r>
        <w:t xml:space="preserve"> </w:t>
      </w:r>
      <w:r>
        <w:t xml:space="preserve">100% - 60% = 40%</w:t>
      </w:r>
    </w:p>
    <w:p>
      <w:pPr>
        <w:numPr>
          <w:ilvl w:val="0"/>
          <w:numId w:val="1006"/>
        </w:numPr>
        <w:pStyle w:val="Compact"/>
      </w:pPr>
      <w:r>
        <w:rPr>
          <w:bCs/>
          <w:b/>
        </w:rPr>
        <w:t xml:space="preserve">Electricity Consumption from Grid:</w:t>
      </w:r>
      <w:r>
        <w:t xml:space="preserve"> </w:t>
      </w:r>
      <w:r>
        <w:t xml:space="preserve">5.0 kWh/unit * 0.40 = 2.0 kWh/unit</w:t>
      </w:r>
    </w:p>
    <w:p>
      <w:pPr>
        <w:numPr>
          <w:ilvl w:val="0"/>
          <w:numId w:val="1006"/>
        </w:numPr>
        <w:pStyle w:val="Compact"/>
      </w:pPr>
      <w:r>
        <w:rPr>
          <w:bCs/>
          <w:b/>
        </w:rPr>
        <w:t xml:space="preserve">Assumed China Grid Emission Factor:</w:t>
      </w:r>
      <w:r>
        <w:t xml:space="preserve"> </w:t>
      </w:r>
      <w:r>
        <w:t xml:space="preserve">0.6 kg CO2e/kWh (Illustrative, based on recent country averages)</w:t>
      </w:r>
    </w:p>
    <w:p>
      <w:pPr>
        <w:numPr>
          <w:ilvl w:val="0"/>
          <w:numId w:val="1006"/>
        </w:numPr>
        <w:pStyle w:val="Compact"/>
      </w:pPr>
      <w:r>
        <w:rPr>
          <w:bCs/>
          <w:b/>
        </w:rPr>
        <w:t xml:space="preserve">Production Energy Emissions:</w:t>
      </w:r>
      <w:r>
        <w:t xml:space="preserve"> </w:t>
      </w:r>
      <w:r>
        <w:t xml:space="preserve">2.0 kWh/unit * 0.6 kg CO2e/kWh = 1.20 kg CO2e</w:t>
      </w:r>
    </w:p>
    <w:bookmarkEnd w:id="31"/>
    <w:bookmarkStart w:id="32" w:name="X33399bf9c05bbc30c3978082086ede390ef9a24"/>
    <w:p>
      <w:pPr>
        <w:pStyle w:val="Heading3"/>
      </w:pPr>
      <w:r>
        <w:t xml:space="preserve">2.4. Logistics &amp; Supply Chain (Scope 3 - Upstream &amp; Downstream)</w:t>
      </w:r>
    </w:p>
    <w:p>
      <w:pPr>
        <w:pStyle w:val="FirstParagraph"/>
      </w:pPr>
      <w:r>
        <w:t xml:space="preserve">Emissions from transporting the finished product from the factory gate to the end-customer.</w:t>
      </w:r>
    </w:p>
    <w:p>
      <w:pPr>
        <w:numPr>
          <w:ilvl w:val="0"/>
          <w:numId w:val="1007"/>
        </w:numPr>
        <w:pStyle w:val="Compact"/>
      </w:pPr>
      <w:r>
        <w:rPr>
          <w:bCs/>
          <w:b/>
        </w:rPr>
        <w:t xml:space="preserve">Product Weight (assumed):</w:t>
      </w:r>
      <w:r>
        <w:t xml:space="preserve"> </w:t>
      </w:r>
      <w:r>
        <w:t xml:space="preserve">0.3 kg</w:t>
      </w:r>
    </w:p>
    <w:p>
      <w:pPr>
        <w:numPr>
          <w:ilvl w:val="0"/>
          <w:numId w:val="1007"/>
        </w:numPr>
        <w:pStyle w:val="Compact"/>
      </w:pPr>
      <w:r>
        <w:rPr>
          <w:bCs/>
          <w:b/>
        </w:rPr>
        <w:t xml:space="preserve">Main Transport Mode:</w:t>
      </w:r>
      <w:r>
        <w:t xml:space="preserve"> </w:t>
      </w:r>
      <w:r>
        <w:t xml:space="preserve">Ocean Freight (Container Ship) [cite: Select Mode]</w:t>
      </w:r>
    </w:p>
    <w:p>
      <w:pPr>
        <w:numPr>
          <w:ilvl w:val="0"/>
          <w:numId w:val="1007"/>
        </w:numPr>
        <w:pStyle w:val="Compact"/>
      </w:pPr>
      <w:r>
        <w:rPr>
          <w:bCs/>
          <w:b/>
        </w:rPr>
        <w:t xml:space="preserve">Transport Distance:</w:t>
      </w:r>
      <w:r>
        <w:t xml:space="preserve"> </w:t>
      </w:r>
      <w:r>
        <w:t xml:space="preserve">15000 km [cite: murdxxsqnw]</w:t>
      </w:r>
    </w:p>
    <w:p>
      <w:pPr>
        <w:numPr>
          <w:ilvl w:val="0"/>
          <w:numId w:val="1007"/>
        </w:numPr>
        <w:pStyle w:val="Compact"/>
      </w:pPr>
      <w:r>
        <w:rPr>
          <w:bCs/>
          <w:b/>
        </w:rPr>
        <w:t xml:space="preserve">Ocean Freight Emission Factor (illustrative):</w:t>
      </w:r>
      <w:r>
        <w:t xml:space="preserve"> </w:t>
      </w:r>
      <w:r>
        <w:t xml:space="preserve">0.008 kg CO2e/tkm (tonne-kilometer)</w:t>
      </w:r>
    </w:p>
    <w:p>
      <w:pPr>
        <w:numPr>
          <w:ilvl w:val="0"/>
          <w:numId w:val="1007"/>
        </w:numPr>
        <w:pStyle w:val="Compact"/>
      </w:pPr>
      <w:r>
        <w:rPr>
          <w:bCs/>
          <w:b/>
        </w:rPr>
        <w:t xml:space="preserve">Ocean Freight Emissions:</w:t>
      </w:r>
      <w:r>
        <w:t xml:space="preserve"> </w:t>
      </w:r>
      <w:r>
        <w:t xml:space="preserve">(0.3 kg / 1000 kg/tonne) * 15000 km * 0.008 kg CO2e/tkm = 0.036 kg CO2e</w:t>
      </w:r>
    </w:p>
    <w:p>
      <w:pPr>
        <w:numPr>
          <w:ilvl w:val="0"/>
          <w:numId w:val="1007"/>
        </w:numPr>
        <w:pStyle w:val="Compact"/>
      </w:pPr>
      <w:r>
        <w:rPr>
          <w:bCs/>
          <w:b/>
        </w:rPr>
        <w:t xml:space="preserve">Last-Mile Delivery Channel:</w:t>
      </w:r>
      <w:r>
        <w:t xml:space="preserve"> </w:t>
      </w:r>
      <w:r>
        <w:t xml:space="preserve">Electric Van [cite: Delivery Type]</w:t>
      </w:r>
    </w:p>
    <w:p>
      <w:pPr>
        <w:numPr>
          <w:ilvl w:val="0"/>
          <w:numId w:val="1007"/>
        </w:numPr>
        <w:pStyle w:val="Compact"/>
      </w:pPr>
      <w:r>
        <w:rPr>
          <w:bCs/>
          <w:b/>
        </w:rPr>
        <w:t xml:space="preserve">Assumed Last-Mile Distance:</w:t>
      </w:r>
      <w:r>
        <w:t xml:space="preserve"> </w:t>
      </w:r>
      <w:r>
        <w:t xml:space="preserve">50 km</w:t>
      </w:r>
    </w:p>
    <w:p>
      <w:pPr>
        <w:numPr>
          <w:ilvl w:val="0"/>
          <w:numId w:val="1007"/>
        </w:numPr>
        <w:pStyle w:val="Compact"/>
      </w:pPr>
      <w:r>
        <w:rPr>
          <w:bCs/>
          <w:b/>
        </w:rPr>
        <w:t xml:space="preserve">Electric Van Emission Factor (illustrative):</w:t>
      </w:r>
      <w:r>
        <w:t xml:space="preserve"> </w:t>
      </w:r>
      <w:r>
        <w:t xml:space="preserve">0.01 kg CO2e/tkm (considering charging electricity mix)</w:t>
      </w:r>
    </w:p>
    <w:p>
      <w:pPr>
        <w:numPr>
          <w:ilvl w:val="0"/>
          <w:numId w:val="1007"/>
        </w:numPr>
        <w:pStyle w:val="Compact"/>
      </w:pPr>
      <w:r>
        <w:rPr>
          <w:bCs/>
          <w:b/>
        </w:rPr>
        <w:t xml:space="preserve">Last-Mile Emissions:</w:t>
      </w:r>
      <w:r>
        <w:t xml:space="preserve"> </w:t>
      </w:r>
      <w:r>
        <w:t xml:space="preserve">(0.3 kg / 1000 kg/tonne) * 50 km * 0.01 kg CO2e/tkm = 0.00015 kg CO2e</w:t>
      </w:r>
    </w:p>
    <w:p>
      <w:pPr>
        <w:numPr>
          <w:ilvl w:val="0"/>
          <w:numId w:val="1007"/>
        </w:numPr>
        <w:pStyle w:val="Compact"/>
      </w:pPr>
      <w:r>
        <w:rPr>
          <w:bCs/>
          <w:b/>
        </w:rPr>
        <w:t xml:space="preserve">Total Transport Emissions:</w:t>
      </w:r>
      <w:r>
        <w:t xml:space="preserve"> </w:t>
      </w:r>
      <w:r>
        <w:t xml:space="preserve">0.036 + 0.00015 = 0.03615 kg CO2e ≈ 0.04 kg CO2e</w:t>
      </w:r>
    </w:p>
    <w:bookmarkEnd w:id="32"/>
    <w:bookmarkStart w:id="33" w:name="use-phase-scope-3---downstream"/>
    <w:p>
      <w:pPr>
        <w:pStyle w:val="Heading3"/>
      </w:pPr>
      <w:r>
        <w:t xml:space="preserve">2.5. Use Phase (Scope 3 - Downstream)</w:t>
      </w:r>
    </w:p>
    <w:p>
      <w:pPr>
        <w:pStyle w:val="FirstParagraph"/>
      </w:pPr>
      <w:r>
        <w:t xml:space="preserve">Emissions associated with the energy consumption of sywdoeeluw during its operational lifespan.</w:t>
      </w:r>
    </w:p>
    <w:p>
      <w:pPr>
        <w:numPr>
          <w:ilvl w:val="0"/>
          <w:numId w:val="1008"/>
        </w:numPr>
        <w:pStyle w:val="Compact"/>
      </w:pPr>
      <w:r>
        <w:rPr>
          <w:bCs/>
          <w:b/>
        </w:rPr>
        <w:t xml:space="preserve">Product Lifespan:</w:t>
      </w:r>
      <w:r>
        <w:t xml:space="preserve"> </w:t>
      </w:r>
      <w:r>
        <w:t xml:space="preserve">7 years [cite: dwmuljtldm] = 7 years * 365 days/year = 2555 days</w:t>
      </w:r>
    </w:p>
    <w:p>
      <w:pPr>
        <w:numPr>
          <w:ilvl w:val="0"/>
          <w:numId w:val="1008"/>
        </w:numPr>
        <w:pStyle w:val="Compact"/>
      </w:pPr>
      <w:r>
        <w:rPr>
          <w:bCs/>
          <w:b/>
        </w:rPr>
        <w:t xml:space="preserve">Energy Consumption in Use:</w:t>
      </w:r>
      <w:r>
        <w:t xml:space="preserve"> </w:t>
      </w:r>
      <w:r>
        <w:t xml:space="preserve">0.02 kWh/day [cite: egudhitovp]</w:t>
      </w:r>
    </w:p>
    <w:p>
      <w:pPr>
        <w:numPr>
          <w:ilvl w:val="0"/>
          <w:numId w:val="1008"/>
        </w:numPr>
        <w:pStyle w:val="Compact"/>
      </w:pPr>
      <w:r>
        <w:rPr>
          <w:bCs/>
          <w:b/>
        </w:rPr>
        <w:t xml:space="preserve">Total Energy Consumption in Use:</w:t>
      </w:r>
      <w:r>
        <w:t xml:space="preserve"> </w:t>
      </w:r>
      <w:r>
        <w:t xml:space="preserve">0.02 kWh/day * 2555 days = 51.1 kWh</w:t>
      </w:r>
    </w:p>
    <w:p>
      <w:pPr>
        <w:numPr>
          <w:ilvl w:val="0"/>
          <w:numId w:val="1008"/>
        </w:numPr>
        <w:pStyle w:val="Compact"/>
      </w:pPr>
      <w:r>
        <w:rPr>
          <w:bCs/>
          <w:b/>
        </w:rPr>
        <w:t xml:space="preserve">Assumed Average Grid Emission Factor (User Location):</w:t>
      </w:r>
      <w:r>
        <w:t xml:space="preserve"> </w:t>
      </w:r>
      <w:r>
        <w:t xml:space="preserve">0.6 kg CO2e/kWh (Illustrative, representing a global average electricity mix)</w:t>
      </w:r>
    </w:p>
    <w:p>
      <w:pPr>
        <w:numPr>
          <w:ilvl w:val="0"/>
          <w:numId w:val="1008"/>
        </w:numPr>
        <w:pStyle w:val="Compact"/>
      </w:pPr>
      <w:r>
        <w:rPr>
          <w:bCs/>
          <w:b/>
        </w:rPr>
        <w:t xml:space="preserve">Use Phase Emissions:</w:t>
      </w:r>
      <w:r>
        <w:t xml:space="preserve"> </w:t>
      </w:r>
      <w:r>
        <w:t xml:space="preserve">51.1 kWh * 0.6 kg CO2e/kWh = 30.66 kg CO2e</w:t>
      </w:r>
    </w:p>
    <w:bookmarkEnd w:id="33"/>
    <w:bookmarkStart w:id="34" w:name="X2449e76f36fce2c9fec3c701a472f020b80894d"/>
    <w:p>
      <w:pPr>
        <w:pStyle w:val="Heading3"/>
      </w:pPr>
      <w:r>
        <w:t xml:space="preserve">2.6. End-of-Life (EoL) Scenarios (Scope 3 - Downstream)</w:t>
      </w:r>
    </w:p>
    <w:p>
      <w:pPr>
        <w:pStyle w:val="FirstParagraph"/>
      </w:pPr>
      <w:r>
        <w:t xml:space="preserve">This section addresses the emissions and potential credits from the disposal or recycling of sywdoeeluw at the end of its life.</w:t>
      </w:r>
    </w:p>
    <w:p>
      <w:pPr>
        <w:numPr>
          <w:ilvl w:val="0"/>
          <w:numId w:val="1009"/>
        </w:numPr>
        <w:pStyle w:val="Compact"/>
      </w:pPr>
      <w:r>
        <w:rPr>
          <w:bCs/>
          <w:b/>
        </w:rPr>
        <w:t xml:space="preserve">Product Weight:</w:t>
      </w:r>
      <w:r>
        <w:t xml:space="preserve"> </w:t>
      </w:r>
      <w:r>
        <w:t xml:space="preserve">0.3 kg</w:t>
      </w:r>
    </w:p>
    <w:p>
      <w:pPr>
        <w:numPr>
          <w:ilvl w:val="0"/>
          <w:numId w:val="1009"/>
        </w:numPr>
        <w:pStyle w:val="Compact"/>
      </w:pPr>
      <w:r>
        <w:rPr>
          <w:bCs/>
          <w:b/>
        </w:rPr>
        <w:t xml:space="preserve">Recyclability Percentage:</w:t>
      </w:r>
      <w:r>
        <w:t xml:space="preserve"> </w:t>
      </w:r>
      <w:r>
        <w:t xml:space="preserve">80% [cite: szqtjxghvk]</w:t>
      </w:r>
    </w:p>
    <w:p>
      <w:pPr>
        <w:numPr>
          <w:ilvl w:val="0"/>
          <w:numId w:val="1009"/>
        </w:numPr>
        <w:pStyle w:val="Compact"/>
      </w:pPr>
      <w:r>
        <w:rPr>
          <w:bCs/>
          <w:b/>
        </w:rPr>
        <w:t xml:space="preserve">Circular/Take-back Programs:</w:t>
      </w:r>
      <w:r>
        <w:t xml:space="preserve"> </w:t>
      </w:r>
      <w:r>
        <w:t xml:space="preserve">Existing take-back program with 15% return rate [cite: ryieoeyzkv] (This supports the high recyclability rate).</w:t>
      </w:r>
    </w:p>
    <w:p>
      <w:pPr>
        <w:numPr>
          <w:ilvl w:val="0"/>
          <w:numId w:val="1009"/>
        </w:numPr>
        <w:pStyle w:val="Compact"/>
      </w:pPr>
      <w:r>
        <w:rPr>
          <w:bCs/>
          <w:b/>
        </w:rPr>
        <w:t xml:space="preserve">Non-Recyclable Portion:</w:t>
      </w:r>
      <w:r>
        <w:t xml:space="preserve"> </w:t>
      </w:r>
      <w:r>
        <w:t xml:space="preserve">100% - 80% = 20%</w:t>
      </w:r>
    </w:p>
    <w:p>
      <w:pPr>
        <w:numPr>
          <w:ilvl w:val="0"/>
          <w:numId w:val="1009"/>
        </w:numPr>
        <w:pStyle w:val="Compact"/>
      </w:pPr>
      <w:r>
        <w:rPr>
          <w:bCs/>
          <w:b/>
        </w:rPr>
        <w:t xml:space="preserve">Assumed Disposal Emission Factor:</w:t>
      </w:r>
      <w:r>
        <w:t xml:space="preserve"> </w:t>
      </w:r>
      <w:r>
        <w:t xml:space="preserve">0.1 kg CO2e/kg (for landfill/incineration of non-recycled waste, illustrative)</w:t>
      </w:r>
    </w:p>
    <w:p>
      <w:pPr>
        <w:numPr>
          <w:ilvl w:val="0"/>
          <w:numId w:val="1009"/>
        </w:numPr>
        <w:pStyle w:val="Compact"/>
      </w:pPr>
      <w:r>
        <w:rPr>
          <w:bCs/>
          <w:b/>
        </w:rPr>
        <w:t xml:space="preserve">Disposal Emissions:</w:t>
      </w:r>
      <w:r>
        <w:t xml:space="preserve"> </w:t>
      </w:r>
      <w:r>
        <w:t xml:space="preserve">0.3 kg * 0.20 * 0.1 kg CO2e/kg = 0.006 kg CO2e</w:t>
      </w:r>
    </w:p>
    <w:p>
      <w:pPr>
        <w:numPr>
          <w:ilvl w:val="0"/>
          <w:numId w:val="1009"/>
        </w:numPr>
        <w:pStyle w:val="Compact"/>
      </w:pPr>
      <w:r>
        <w:rPr>
          <w:bCs/>
          <w:b/>
        </w:rPr>
        <w:t xml:space="preserve">Recycled Portion:</w:t>
      </w:r>
      <w:r>
        <w:t xml:space="preserve"> </w:t>
      </w:r>
      <w:r>
        <w:t xml:space="preserve">80%</w:t>
      </w:r>
    </w:p>
    <w:p>
      <w:pPr>
        <w:numPr>
          <w:ilvl w:val="0"/>
          <w:numId w:val="1009"/>
        </w:numPr>
        <w:pStyle w:val="Compact"/>
      </w:pPr>
      <w:r>
        <w:rPr>
          <w:bCs/>
          <w:b/>
        </w:rPr>
        <w:t xml:space="preserve">Assumed Recycling Credit Factor:</w:t>
      </w:r>
      <w:r>
        <w:t xml:space="preserve"> </w:t>
      </w:r>
      <w:r>
        <w:t xml:space="preserve">-1.5 kg CO2e/kg (Illustrative credit for avoided virgin material production, representing net benefit)</w:t>
      </w:r>
    </w:p>
    <w:p>
      <w:pPr>
        <w:numPr>
          <w:ilvl w:val="0"/>
          <w:numId w:val="1009"/>
        </w:numPr>
        <w:pStyle w:val="Compact"/>
      </w:pPr>
      <w:r>
        <w:rPr>
          <w:bCs/>
          <w:b/>
        </w:rPr>
        <w:t xml:space="preserve">Recycling Credit:</w:t>
      </w:r>
      <w:r>
        <w:t xml:space="preserve"> </w:t>
      </w:r>
      <w:r>
        <w:t xml:space="preserve">0.3 kg * 0.80 * -1.5 kg CO2e/kg = -0.36 kg CO2e</w:t>
      </w:r>
    </w:p>
    <w:p>
      <w:pPr>
        <w:numPr>
          <w:ilvl w:val="0"/>
          <w:numId w:val="1009"/>
        </w:numPr>
        <w:pStyle w:val="Compact"/>
      </w:pPr>
      <w:r>
        <w:rPr>
          <w:bCs/>
          <w:b/>
        </w:rPr>
        <w:t xml:space="preserve">Total End-of-Life Emissions:</w:t>
      </w:r>
      <w:r>
        <w:t xml:space="preserve"> </w:t>
      </w:r>
      <w:r>
        <w:t xml:space="preserve">0.006 kg CO2e - 0.36 kg CO2e = -0.354 kg CO2e ≈ -0.35 kg CO2e (net credit)</w:t>
      </w:r>
    </w:p>
    <w:p>
      <w:r>
        <w:pict>
          <v:rect style="width:0;height:1.5pt" o:hralign="center" o:hrstd="t" o:hr="t"/>
        </w:pict>
      </w:r>
    </w:p>
    <w:bookmarkEnd w:id="34"/>
    <w:bookmarkEnd w:id="35"/>
    <w:bookmarkStart w:id="37" w:name="total-product-carbon-footprint-pcf"/>
    <w:p>
      <w:pPr>
        <w:pStyle w:val="Heading2"/>
      </w:pPr>
      <w:r>
        <w:t xml:space="preserve">3. Total Product Carbon Footprint (PCF)</w:t>
      </w:r>
    </w:p>
    <w:p>
      <w:pPr>
        <w:pStyle w:val="FirstParagraph"/>
      </w:pPr>
      <w:r>
        <w:t xml:space="preserve">The total Product Carbon Footprint for one functional unit of sywdoeeluw, categorized by GHG Protocol scopes,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1.99</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Transport (Product to Customer)</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30.66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-0.35</w:t>
            </w:r>
          </w:p>
        </w:tc>
      </w:tr>
      <w:tr>
        <w:tc>
          <w:tcPr>
            <w:gridSpan w:val="2"/>
          </w:tcPr>
          <w:p>
            <w:pPr>
              <w:pStyle w:val="Compact"/>
              <w:jc w:val="right"/>
            </w:pPr>
            <w:r>
              <w:t xml:space="preserve">Total Product Carbon Footprint:</w:t>
            </w:r>
          </w:p>
        </w:tc>
        <w:tc>
          <w:tcPr/>
          <w:p>
            <w:pPr>
              <w:pStyle w:val="Compact"/>
              <w:jc w:val="left"/>
            </w:pPr>
            <w:r>
              <w:t xml:space="preserve">33.54 kg CO2e</w:t>
            </w:r>
          </w:p>
        </w:tc>
      </w:tr>
    </w:tbl>
    <w:p>
      <w:pPr>
        <w:pStyle w:val="BodyText"/>
      </w:pPr>
      <w:r>
        <w:rPr>
          <w:bCs/>
          <w:b/>
        </w:rPr>
        <w:t xml:space="preserve">Total PCF for sywdoeeluw: 33.54 kg CO2e per unit</w:t>
      </w:r>
    </w:p>
    <w:bookmarkStart w:id="36" w:name="emissions-by-ghg-protocol-scope"/>
    <w:p>
      <w:pPr>
        <w:pStyle w:val="Heading3"/>
      </w:pPr>
      <w:r>
        <w:t xml:space="preserve">3.1. Emissions by GHG Protocol Scope</w:t>
      </w:r>
    </w:p>
    <w:p>
      <w:pPr>
        <w:numPr>
          <w:ilvl w:val="0"/>
          <w:numId w:val="1010"/>
        </w:numPr>
        <w:pStyle w:val="Compact"/>
      </w:pPr>
      <w:r>
        <w:rPr>
          <w:bCs/>
          <w:b/>
        </w:rPr>
        <w:t xml:space="preserve">Scope 1 Emissions:</w:t>
      </w:r>
      <w:r>
        <w:t xml:space="preserve"> </w:t>
      </w:r>
      <w:r>
        <w:t xml:space="preserve">0.00 kg CO2e (No direct operational emissions specifically attributable to the product\'s manufacturing process were identified or provided for this analysis).</w:t>
      </w:r>
    </w:p>
    <w:p>
      <w:pPr>
        <w:numPr>
          <w:ilvl w:val="0"/>
          <w:numId w:val="1010"/>
        </w:numPr>
        <w:pStyle w:val="Compact"/>
      </w:pPr>
      <w:r>
        <w:rPr>
          <w:bCs/>
          <w:b/>
        </w:rPr>
        <w:t xml:space="preserve">Scope 2 Emissions:</w:t>
      </w:r>
      <w:r>
        <w:t xml:space="preserve"> </w:t>
      </w:r>
      <w:r>
        <w:t xml:space="preserve">1.20 kg CO2e (From purchased electricity for manufacturing in China).</w:t>
      </w:r>
    </w:p>
    <w:p>
      <w:pPr>
        <w:numPr>
          <w:ilvl w:val="0"/>
          <w:numId w:val="1010"/>
        </w:numPr>
        <w:pStyle w:val="Compact"/>
      </w:pPr>
      <w:r>
        <w:rPr>
          <w:bCs/>
          <w:b/>
        </w:rPr>
        <w:t xml:space="preserve">Scope 3 Emissions:</w:t>
      </w:r>
      <w:r>
        <w:t xml:space="preserve"> </w:t>
      </w:r>
      <w:r>
        <w:t xml:space="preserve">32.33 kg CO2e (Comprising upstream material production, product transportation, use phase energy, and end-of-life treatment. This category represents approximately 96.4% of the total PCF, meeting the &gt;95% coverage requirement).</w:t>
      </w:r>
    </w:p>
    <w:p>
      <w:r>
        <w:pict>
          <v:rect style="width:0;height:1.5pt" o:hralign="center" o:hrstd="t" o:hr="t"/>
        </w:pict>
      </w:r>
    </w:p>
    <w:bookmarkEnd w:id="36"/>
    <w:bookmarkEnd w:id="37"/>
    <w:bookmarkStart w:id="38" w:name="hotspots-and-reliability"/>
    <w:p>
      <w:pPr>
        <w:pStyle w:val="Heading2"/>
      </w:pPr>
      <w:r>
        <w:t xml:space="preserve">4. Hotspots and Reliability</w:t>
      </w:r>
    </w:p>
    <w:p>
      <w:pPr>
        <w:pStyle w:val="FirstParagraph"/>
      </w:pPr>
      <w:r>
        <w:t xml:space="preserve">Identifying emission hotspots is crucial for effective reduction strategies:</w:t>
      </w:r>
    </w:p>
    <w:p>
      <w:pPr>
        <w:numPr>
          <w:ilvl w:val="0"/>
          <w:numId w:val="1011"/>
        </w:numPr>
        <w:pStyle w:val="Compact"/>
      </w:pPr>
      <w:r>
        <w:rPr>
          <w:bCs/>
          <w:b/>
        </w:rPr>
        <w:t xml:space="preserve">Primary Hotspot:</w:t>
      </w:r>
      <w:r>
        <w:t xml:space="preserve"> </w:t>
      </w:r>
      <w:r>
        <w:t xml:space="preserve">The</w:t>
      </w:r>
      <w:r>
        <w:t xml:space="preserve"> </w:t>
      </w:r>
      <w:r>
        <w:rPr>
          <w:bCs/>
          <w:b/>
        </w:rPr>
        <w:t xml:space="preserve">Use Phase</w:t>
      </w:r>
      <w:r>
        <w:t xml:space="preserve"> </w:t>
      </w:r>
      <w:r>
        <w:t xml:space="preserve">(30.66 kg CO2e) is by far the largest contributor to the total PCF, accounting for approximately 91.4% of all emissions. This indicates that the energy consumption during the product\'s operational lifespan is the most critical area for intervention.</w:t>
      </w:r>
    </w:p>
    <w:p>
      <w:pPr>
        <w:numPr>
          <w:ilvl w:val="0"/>
          <w:numId w:val="1011"/>
        </w:numPr>
        <w:pStyle w:val="Compact"/>
      </w:pPr>
      <w:r>
        <w:rPr>
          <w:bCs/>
          <w:b/>
        </w:rPr>
        <w:t xml:space="preserve">Secondary Hotspot:</w:t>
      </w:r>
      <w:r>
        <w:t xml:space="preserve"> </w:t>
      </w:r>
      <w:r>
        <w:rPr>
          <w:bCs/>
          <w:b/>
        </w:rPr>
        <w:t xml:space="preserve">Materials Acquisition &amp; Pre-processing</w:t>
      </w:r>
      <w:r>
        <w:t xml:space="preserve"> </w:t>
      </w:r>
      <w:r>
        <w:t xml:space="preserve">(1.99 kg CO2e) is the second most significant contributor, representing about 5.9% of the total footprint. Focus on sustainable material sourcing and design for lighter, less impactful materials could yield benefits.</w:t>
      </w:r>
    </w:p>
    <w:p>
      <w:pPr>
        <w:numPr>
          <w:ilvl w:val="0"/>
          <w:numId w:val="1011"/>
        </w:numPr>
        <w:pStyle w:val="Compact"/>
      </w:pPr>
      <w:r>
        <w:rPr>
          <w:bCs/>
          <w:b/>
        </w:rPr>
        <w:t xml:space="preserve">Tertiary Hotspot:</w:t>
      </w:r>
      <w:r>
        <w:t xml:space="preserve"> </w:t>
      </w:r>
      <w:r>
        <w:rPr>
          <w:bCs/>
          <w:b/>
        </w:rPr>
        <w:t xml:space="preserve">Production Phase</w:t>
      </w:r>
      <w:r>
        <w:t xml:space="preserve"> </w:t>
      </w:r>
      <w:r>
        <w:t xml:space="preserve">(1.20 kg CO2e) due to purchased electricity. Increasing renewable energy usage beyond the current 60% would directly reduce this impact.</w:t>
      </w:r>
    </w:p>
    <w:p>
      <w:pPr>
        <w:numPr>
          <w:ilvl w:val="0"/>
          <w:numId w:val="1011"/>
        </w:numPr>
        <w:pStyle w:val="Compact"/>
      </w:pPr>
      <w:r>
        <w:rPr>
          <w:bCs/>
          <w:b/>
        </w:rPr>
        <w:t xml:space="preserve">Reliability:</w:t>
      </w:r>
      <w:r>
        <w:t xml:space="preserve"> </w:t>
      </w:r>
      <w:r>
        <w:t xml:space="preserve">The reliability of this PCF is good given the specific parameters provided. However, the accuracy is subject to the illustrative nature of some emission factors (e.g., global grid mix for use phase, transport mode EFs) and the assumed product weight where not explicitly defined. High-quality primary data for all supply chain components would further enhance accuracy.</w:t>
      </w:r>
    </w:p>
    <w:p>
      <w:r>
        <w:pict>
          <v:rect style="width:0;height:1.5pt" o:hralign="center" o:hrstd="t" o:hr="t"/>
        </w:pict>
      </w:r>
    </w:p>
    <w:bookmarkEnd w:id="38"/>
    <w:bookmarkStart w:id="39" w:name="recommendations-for-emission-reduction"/>
    <w:p>
      <w:pPr>
        <w:pStyle w:val="Heading2"/>
      </w:pPr>
      <w:r>
        <w:t xml:space="preserve">5. Recommendations for Emission Reduction</w:t>
      </w:r>
    </w:p>
    <w:p>
      <w:pPr>
        <w:pStyle w:val="FirstParagraph"/>
      </w:pPr>
      <w:r>
        <w:t xml:space="preserve">Based on the PCF analysis, mnnjxjriny can focus on the following strategies to reduce the carbon footprint of sywdoeeluw:</w:t>
      </w:r>
    </w:p>
    <w:p>
      <w:pPr>
        <w:numPr>
          <w:ilvl w:val="0"/>
          <w:numId w:val="1012"/>
        </w:numPr>
        <w:pStyle w:val="Compact"/>
      </w:pPr>
      <w:r>
        <w:rPr>
          <w:bCs/>
          <w:b/>
        </w:rPr>
        <w:t xml:space="preserve">Optimize Use Phase Efficiency:</w:t>
      </w:r>
    </w:p>
    <w:p>
      <w:pPr>
        <w:numPr>
          <w:ilvl w:val="1"/>
          <w:numId w:val="1013"/>
        </w:numPr>
        <w:pStyle w:val="Compact"/>
      </w:pPr>
      <w:r>
        <w:t xml:space="preserve">Engineer the sywdoeeluw for significantly lower energy consumption during operation.</w:t>
      </w:r>
    </w:p>
    <w:p>
      <w:pPr>
        <w:numPr>
          <w:ilvl w:val="1"/>
          <w:numId w:val="1013"/>
        </w:numPr>
        <w:pStyle w:val="Compact"/>
      </w:pPr>
      <w:r>
        <w:t xml:space="preserve">Explore software updates or hardware revisions to enable energy-saving modes.</w:t>
      </w:r>
    </w:p>
    <w:p>
      <w:pPr>
        <w:numPr>
          <w:ilvl w:val="1"/>
          <w:numId w:val="1013"/>
        </w:numPr>
        <w:pStyle w:val="Compact"/>
      </w:pPr>
      <w:r>
        <w:t xml:space="preserve">Provide users with clear guidance on energy-efficient usage and best practices.</w:t>
      </w:r>
    </w:p>
    <w:p>
      <w:pPr>
        <w:numPr>
          <w:ilvl w:val="0"/>
          <w:numId w:val="1012"/>
        </w:numPr>
        <w:pStyle w:val="Compact"/>
      </w:pPr>
      <w:r>
        <w:rPr>
          <w:bCs/>
          <w:b/>
        </w:rPr>
        <w:t xml:space="preserve">Enhance Renewable Energy Integration:</w:t>
      </w:r>
    </w:p>
    <w:p>
      <w:pPr>
        <w:numPr>
          <w:ilvl w:val="1"/>
          <w:numId w:val="1014"/>
        </w:numPr>
        <w:pStyle w:val="Compact"/>
      </w:pPr>
      <w:r>
        <w:t xml:space="preserve">Increase the percentage of renewable energy used in manufacturing facilities beyond the current 60% [cite: iqkqivwnnr].</w:t>
      </w:r>
    </w:p>
    <w:p>
      <w:pPr>
        <w:numPr>
          <w:ilvl w:val="1"/>
          <w:numId w:val="1014"/>
        </w:numPr>
        <w:pStyle w:val="Compact"/>
      </w:pPr>
      <w:r>
        <w:t xml:space="preserve">Engage with suppliers to encourage their transition to renewable energy sources for material production.</w:t>
      </w:r>
    </w:p>
    <w:p>
      <w:pPr>
        <w:numPr>
          <w:ilvl w:val="0"/>
          <w:numId w:val="1012"/>
        </w:numPr>
        <w:pStyle w:val="Compact"/>
      </w:pPr>
      <w:r>
        <w:rPr>
          <w:bCs/>
          <w:b/>
        </w:rPr>
        <w:t xml:space="preserve">Sustainable Material Sourcing and Design:</w:t>
      </w:r>
    </w:p>
    <w:p>
      <w:pPr>
        <w:numPr>
          <w:ilvl w:val="1"/>
          <w:numId w:val="1015"/>
        </w:numPr>
        <w:pStyle w:val="Compact"/>
      </w:pPr>
      <w:r>
        <w:t xml:space="preserve">Investigate alternative, lower-carbon materials for components like the ABS plastic casing and battery.</w:t>
      </w:r>
    </w:p>
    <w:p>
      <w:pPr>
        <w:numPr>
          <w:ilvl w:val="1"/>
          <w:numId w:val="1015"/>
        </w:numPr>
        <w:pStyle w:val="Compact"/>
      </w:pPr>
      <w:r>
        <w:t xml:space="preserve">Implement Design for Environment (DfE) principles to reduce overall material intensity.</w:t>
      </w:r>
    </w:p>
    <w:p>
      <w:pPr>
        <w:numPr>
          <w:ilvl w:val="0"/>
          <w:numId w:val="1012"/>
        </w:numPr>
        <w:pStyle w:val="Compact"/>
      </w:pPr>
      <w:r>
        <w:rPr>
          <w:bCs/>
          <w:b/>
        </w:rPr>
        <w:t xml:space="preserve">Strengthen Circular Economy Initiatives:</w:t>
      </w:r>
    </w:p>
    <w:p>
      <w:pPr>
        <w:numPr>
          <w:ilvl w:val="1"/>
          <w:numId w:val="1016"/>
        </w:numPr>
        <w:pStyle w:val="Compact"/>
      </w:pPr>
      <w:r>
        <w:t xml:space="preserve">Expand the existing take-back program [cite: ryieoeyzkv] to increase return rates beyond 15% to ensure a higher percentage of products enter the recycling stream.</w:t>
      </w:r>
    </w:p>
    <w:p>
      <w:pPr>
        <w:numPr>
          <w:ilvl w:val="1"/>
          <w:numId w:val="1016"/>
        </w:numPr>
        <w:pStyle w:val="Compact"/>
      </w:pPr>
      <w:r>
        <w:t xml:space="preserve">Explore opportunities for product refurbishment or remanufacturing to extend lifespan and avoid new production emissions.</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sywdoeeluw</dc:title>
  <dc:creator/>
  <dc:description>Detailed Product Carbon Footprint (PCF) analysis report for sywdoeeluw by mnnjxjriny, adhering to GHG Protocol standards and 2026 LSR update.</dc:description>
  <dc:language>en</dc:language>
  <cp:keywords/>
  <dcterms:created xsi:type="dcterms:W3CDTF">2026-07-15T14:27:01Z</dcterms:created>
  <dcterms:modified xsi:type="dcterms:W3CDTF">2026-07-15T14:27:01Z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